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2513" w14:textId="597FED85" w:rsidR="0097325B" w:rsidRPr="00072E01" w:rsidRDefault="0097325B" w:rsidP="00973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ADDENDA AL </w:t>
      </w:r>
      <w:r w:rsidRPr="00072E01">
        <w:rPr>
          <w:rFonts w:ascii="Arial" w:hAnsi="Arial" w:cs="Arial"/>
          <w:b/>
          <w:bCs/>
        </w:rPr>
        <w:t>CONVENI DE COOPERACIÓ HORITZONTAL ENTRE LA SINDICATURA DE COMPTES DE CATALUNYA I L’AGÈNCIA DE CIBERSEGURETAT DE CATALUNYA PER A L’ASSISTÈNCIA TÈCNICA I LA IMPLEMENTACIÓ DE MESURES DE CIBERSEGURETAT PER A LA CONSECUCIÓ CONJUNTA DE LES FUNCIONS PÚBLIQUES QUE TENEN ATRIBUÏDES</w:t>
      </w:r>
    </w:p>
    <w:p w14:paraId="622C3679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</w:p>
    <w:p w14:paraId="5532A170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</w:p>
    <w:p w14:paraId="12682B98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  <w:r w:rsidRPr="00072E01">
        <w:rPr>
          <w:rFonts w:ascii="Arial" w:hAnsi="Arial" w:cs="Arial"/>
        </w:rPr>
        <w:t>A Barcelona, a data de signatura electrònica.</w:t>
      </w:r>
    </w:p>
    <w:p w14:paraId="415D1AE5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</w:p>
    <w:p w14:paraId="2BDD9145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</w:p>
    <w:p w14:paraId="6E1AC1E1" w14:textId="77777777" w:rsidR="0097325B" w:rsidRPr="00072E01" w:rsidRDefault="0097325B" w:rsidP="0097325B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072E01">
        <w:rPr>
          <w:rFonts w:ascii="Arial" w:hAnsi="Arial" w:cs="Arial"/>
          <w:b/>
          <w:bCs/>
        </w:rPr>
        <w:t>REUNITS</w:t>
      </w:r>
    </w:p>
    <w:p w14:paraId="138CCF53" w14:textId="77777777" w:rsidR="0097325B" w:rsidRPr="00072E01" w:rsidRDefault="0097325B" w:rsidP="0097325B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1BFA5CED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72E01">
        <w:rPr>
          <w:rFonts w:ascii="Arial" w:hAnsi="Arial" w:cs="Arial"/>
        </w:rPr>
        <w:t xml:space="preserve">D’una banda, la </w:t>
      </w:r>
      <w:r w:rsidRPr="00072E01">
        <w:rPr>
          <w:rFonts w:ascii="Arial" w:hAnsi="Arial" w:cs="Arial"/>
          <w:b/>
          <w:bCs/>
        </w:rPr>
        <w:t>Sindicatura de Comptes de Catalunya</w:t>
      </w:r>
      <w:r w:rsidRPr="00072E01">
        <w:rPr>
          <w:rFonts w:ascii="Arial" w:hAnsi="Arial" w:cs="Arial"/>
        </w:rPr>
        <w:t>, representada per l’Il·lustre senyor Miquel Salazar Canalda, síndic major de la Sindicatura de Comptes de Catalunya, en virtut de les facultats que li confereix l’article 29 de la Llei 18/2010, del 7 de juny, de la Sindicatura de Comptes de Catalunya, amb NIF S5800001I (en endavant, “</w:t>
      </w:r>
      <w:r w:rsidRPr="00072E01">
        <w:rPr>
          <w:rFonts w:ascii="Arial" w:hAnsi="Arial" w:cs="Arial"/>
          <w:b/>
          <w:bCs/>
        </w:rPr>
        <w:t>Sindicatura</w:t>
      </w:r>
      <w:r w:rsidRPr="00072E01">
        <w:rPr>
          <w:rFonts w:ascii="Arial" w:hAnsi="Arial" w:cs="Arial"/>
        </w:rPr>
        <w:t>”).</w:t>
      </w:r>
    </w:p>
    <w:p w14:paraId="6ECBA54B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5912D1A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72E01">
        <w:rPr>
          <w:rFonts w:ascii="Arial" w:hAnsi="Arial" w:cs="Arial"/>
        </w:rPr>
        <w:t>De l’altra banda, la Sra. Laura Caballero Nadales, Directora General de l’</w:t>
      </w:r>
      <w:r w:rsidRPr="00072E01">
        <w:rPr>
          <w:rFonts w:ascii="Arial" w:hAnsi="Arial" w:cs="Arial"/>
          <w:b/>
          <w:bCs/>
        </w:rPr>
        <w:t>Agència de Ciberseguretat de Catalunya</w:t>
      </w:r>
      <w:r w:rsidRPr="00072E01">
        <w:rPr>
          <w:rFonts w:ascii="Arial" w:hAnsi="Arial" w:cs="Arial"/>
        </w:rPr>
        <w:t>, designada per acord del Govern de la Generalitat de Catalunya Acord GOV/1/2025, de 7 de gener, amb les competències que li són atribuïdes en virtut de la lletra l) de l’article 12.3 dels Estatuts de l’Agència, aprovats per Decret 223/2019 de 29 d’octubre, amb NIF Q0802270I (en endavant “</w:t>
      </w:r>
      <w:r w:rsidRPr="00072E01">
        <w:rPr>
          <w:rFonts w:ascii="Arial" w:hAnsi="Arial" w:cs="Arial"/>
          <w:b/>
          <w:bCs/>
        </w:rPr>
        <w:t>l’Agència</w:t>
      </w:r>
      <w:r w:rsidRPr="00072E01">
        <w:rPr>
          <w:rFonts w:ascii="Arial" w:hAnsi="Arial" w:cs="Arial"/>
        </w:rPr>
        <w:t>”).</w:t>
      </w:r>
    </w:p>
    <w:p w14:paraId="7D7C05D9" w14:textId="4679FE83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9F95A02" w14:textId="64D66E0E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72E01">
        <w:rPr>
          <w:rFonts w:ascii="Arial" w:hAnsi="Arial" w:cs="Arial"/>
        </w:rPr>
        <w:t>L’Agència i Sindicatura podran ser denominades conjuntament com les “</w:t>
      </w:r>
      <w:r w:rsidRPr="00072E01">
        <w:rPr>
          <w:rFonts w:ascii="Arial" w:hAnsi="Arial" w:cs="Arial"/>
          <w:b/>
          <w:bCs/>
        </w:rPr>
        <w:t>Parts</w:t>
      </w:r>
      <w:r w:rsidRPr="00072E01">
        <w:rPr>
          <w:rFonts w:ascii="Arial" w:hAnsi="Arial" w:cs="Arial"/>
        </w:rPr>
        <w:t>” i individual i indistintament, quan correspongui, com la “</w:t>
      </w:r>
      <w:r w:rsidRPr="00072E01">
        <w:rPr>
          <w:rFonts w:ascii="Arial" w:hAnsi="Arial" w:cs="Arial"/>
          <w:b/>
          <w:bCs/>
        </w:rPr>
        <w:t>Part</w:t>
      </w:r>
      <w:r w:rsidRPr="00072E01">
        <w:rPr>
          <w:rFonts w:ascii="Arial" w:hAnsi="Arial" w:cs="Arial"/>
        </w:rPr>
        <w:t xml:space="preserve">”. </w:t>
      </w:r>
      <w:r>
        <w:rPr>
          <w:rFonts w:ascii="Arial" w:hAnsi="Arial" w:cs="Arial"/>
        </w:rPr>
        <w:t>Així mateix, el Conveni de cooperació horitzontal entre les Parts per a l’Assistència tècnica i la implementació de mesures de Ciberseguretat per a la consecució conjunta de les funcions públiques que tenen atribuïdes podrà ser denominat com el “</w:t>
      </w:r>
      <w:r w:rsidRPr="0097325B">
        <w:rPr>
          <w:rFonts w:ascii="Arial" w:hAnsi="Arial" w:cs="Arial"/>
          <w:b/>
          <w:bCs/>
        </w:rPr>
        <w:t>Conveni</w:t>
      </w:r>
      <w:r>
        <w:rPr>
          <w:rFonts w:ascii="Arial" w:hAnsi="Arial" w:cs="Arial"/>
        </w:rPr>
        <w:t>”.</w:t>
      </w:r>
    </w:p>
    <w:p w14:paraId="0DFEC217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0168AB26" w14:textId="352997A0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72E01">
        <w:rPr>
          <w:rFonts w:ascii="Arial" w:hAnsi="Arial" w:cs="Arial"/>
        </w:rPr>
        <w:t xml:space="preserve">Ambdues Parts es reconeixen recíprocament competència per a subscriure </w:t>
      </w:r>
      <w:r>
        <w:rPr>
          <w:rFonts w:ascii="Arial" w:hAnsi="Arial" w:cs="Arial"/>
        </w:rPr>
        <w:t>la</w:t>
      </w:r>
      <w:r w:rsidRPr="00072E01">
        <w:rPr>
          <w:rFonts w:ascii="Arial" w:hAnsi="Arial" w:cs="Arial"/>
        </w:rPr>
        <w:t xml:space="preserve"> present “</w:t>
      </w:r>
      <w:r>
        <w:rPr>
          <w:rFonts w:ascii="Arial" w:hAnsi="Arial" w:cs="Arial"/>
          <w:b/>
          <w:bCs/>
        </w:rPr>
        <w:t>Addenda</w:t>
      </w:r>
      <w:r w:rsidRPr="00072E0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al Conveni</w:t>
      </w:r>
      <w:r w:rsidRPr="00072E01">
        <w:rPr>
          <w:rFonts w:ascii="Arial" w:hAnsi="Arial" w:cs="Arial"/>
        </w:rPr>
        <w:t xml:space="preserve"> i, de comú acord i reconeixent-se plena capacitat per aquest acte, a tal efecte</w:t>
      </w:r>
    </w:p>
    <w:p w14:paraId="277A8C86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8CCD6D6" w14:textId="77777777" w:rsidR="001776CB" w:rsidRDefault="001776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6DC19B" w14:textId="1D00F53D" w:rsidR="0097325B" w:rsidRPr="00072E01" w:rsidRDefault="0097325B" w:rsidP="0097325B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072E01">
        <w:rPr>
          <w:rFonts w:ascii="Arial" w:hAnsi="Arial" w:cs="Arial"/>
          <w:b/>
          <w:bCs/>
        </w:rPr>
        <w:lastRenderedPageBreak/>
        <w:t>EXPOSEN</w:t>
      </w:r>
    </w:p>
    <w:p w14:paraId="44A91CE1" w14:textId="77777777" w:rsidR="0097325B" w:rsidRPr="00072E01" w:rsidRDefault="0097325B" w:rsidP="0097325B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50E4F276" w14:textId="77777777" w:rsidR="0097325B" w:rsidRPr="00072E01" w:rsidRDefault="0097325B" w:rsidP="0097325B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38F6E35A" w14:textId="511ED21C" w:rsidR="00C0456B" w:rsidRDefault="0042608C" w:rsidP="00093E5D">
      <w:pPr>
        <w:pStyle w:val="Pargrafdellista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data </w:t>
      </w:r>
      <w:r w:rsidR="009C6289">
        <w:rPr>
          <w:rFonts w:ascii="Arial" w:hAnsi="Arial" w:cs="Arial"/>
        </w:rPr>
        <w:t>23 de juliol</w:t>
      </w:r>
      <w:r w:rsidR="00500486">
        <w:rPr>
          <w:rFonts w:ascii="Arial" w:hAnsi="Arial" w:cs="Arial"/>
        </w:rPr>
        <w:t xml:space="preserve"> d’enguany</w:t>
      </w:r>
      <w:r>
        <w:rPr>
          <w:rFonts w:ascii="Arial" w:hAnsi="Arial" w:cs="Arial"/>
        </w:rPr>
        <w:t xml:space="preserve"> </w:t>
      </w:r>
      <w:r w:rsidR="003A677E">
        <w:rPr>
          <w:rFonts w:ascii="Arial" w:hAnsi="Arial" w:cs="Arial"/>
        </w:rPr>
        <w:t>les Parts</w:t>
      </w:r>
      <w:r w:rsidR="000F08B8">
        <w:rPr>
          <w:rFonts w:ascii="Arial" w:hAnsi="Arial" w:cs="Arial"/>
        </w:rPr>
        <w:t xml:space="preserve">, en el marc de les seves </w:t>
      </w:r>
      <w:r w:rsidR="00602A1E">
        <w:rPr>
          <w:rFonts w:ascii="Arial" w:hAnsi="Arial" w:cs="Arial"/>
        </w:rPr>
        <w:t xml:space="preserve">funcions i àmbits competencials </w:t>
      </w:r>
      <w:r w:rsidR="00C55273">
        <w:rPr>
          <w:rFonts w:ascii="Arial" w:hAnsi="Arial" w:cs="Arial"/>
        </w:rPr>
        <w:t xml:space="preserve">i en virtut del que disposa l’article 31 de la Llei </w:t>
      </w:r>
      <w:r w:rsidR="00DA0405">
        <w:rPr>
          <w:rFonts w:ascii="Arial" w:hAnsi="Arial" w:cs="Arial"/>
        </w:rPr>
        <w:t>9</w:t>
      </w:r>
      <w:r w:rsidR="00C55273">
        <w:rPr>
          <w:rFonts w:ascii="Arial" w:hAnsi="Arial" w:cs="Arial"/>
        </w:rPr>
        <w:t>/2017, de Contractes del Sector Públic (LCSP)</w:t>
      </w:r>
      <w:r w:rsidR="00C0456B">
        <w:rPr>
          <w:rFonts w:ascii="Arial" w:hAnsi="Arial" w:cs="Arial"/>
        </w:rPr>
        <w:t>,</w:t>
      </w:r>
      <w:r w:rsidR="00DA0405">
        <w:rPr>
          <w:rFonts w:ascii="Arial" w:hAnsi="Arial" w:cs="Arial"/>
        </w:rPr>
        <w:t xml:space="preserve"> els articles </w:t>
      </w:r>
      <w:r w:rsidR="00DA0405" w:rsidRPr="00072E01">
        <w:rPr>
          <w:rFonts w:ascii="Arial" w:hAnsi="Arial" w:cs="Arial"/>
        </w:rPr>
        <w:t>47 a 53 de la Llei 40/2015 de Regim Jurídic del Sector Públic</w:t>
      </w:r>
      <w:r w:rsidR="00C0456B">
        <w:rPr>
          <w:rFonts w:ascii="Arial" w:hAnsi="Arial" w:cs="Arial"/>
        </w:rPr>
        <w:t xml:space="preserve"> i la Llei 26/2010, del 3 d’agost, de règim jurídic i de procediment de les administracions públiques de Catalunya</w:t>
      </w:r>
      <w:r w:rsidR="000F08B8">
        <w:rPr>
          <w:rFonts w:ascii="Arial" w:hAnsi="Arial" w:cs="Arial"/>
        </w:rPr>
        <w:t>,</w:t>
      </w:r>
      <w:r w:rsidR="003A677E">
        <w:rPr>
          <w:rFonts w:ascii="Arial" w:hAnsi="Arial" w:cs="Arial"/>
        </w:rPr>
        <w:t xml:space="preserve"> van signar </w:t>
      </w:r>
      <w:r w:rsidR="000F08B8">
        <w:rPr>
          <w:rFonts w:ascii="Arial" w:hAnsi="Arial" w:cs="Arial"/>
        </w:rPr>
        <w:t>un conveni</w:t>
      </w:r>
      <w:r w:rsidR="00C55273">
        <w:rPr>
          <w:rFonts w:ascii="Arial" w:hAnsi="Arial" w:cs="Arial"/>
        </w:rPr>
        <w:t xml:space="preserve"> de coo</w:t>
      </w:r>
      <w:r w:rsidR="00311072">
        <w:rPr>
          <w:rFonts w:ascii="Arial" w:hAnsi="Arial" w:cs="Arial"/>
        </w:rPr>
        <w:t>peració horitzon</w:t>
      </w:r>
      <w:r w:rsidR="00682FED">
        <w:rPr>
          <w:rFonts w:ascii="Arial" w:hAnsi="Arial" w:cs="Arial"/>
        </w:rPr>
        <w:t>t</w:t>
      </w:r>
      <w:r w:rsidR="00311072">
        <w:rPr>
          <w:rFonts w:ascii="Arial" w:hAnsi="Arial" w:cs="Arial"/>
        </w:rPr>
        <w:t>al</w:t>
      </w:r>
      <w:r w:rsidR="000F08B8">
        <w:rPr>
          <w:rFonts w:ascii="Arial" w:hAnsi="Arial" w:cs="Arial"/>
        </w:rPr>
        <w:t xml:space="preserve"> </w:t>
      </w:r>
      <w:r w:rsidR="00306A2E">
        <w:rPr>
          <w:rFonts w:ascii="Arial" w:hAnsi="Arial" w:cs="Arial"/>
        </w:rPr>
        <w:t>que té per objecte la millora de la seguretat cibernètica de la Sindicatura davant de ciberamenaces.</w:t>
      </w:r>
    </w:p>
    <w:p w14:paraId="3BCAE98D" w14:textId="77777777" w:rsidR="00C22CD3" w:rsidRDefault="00C22CD3" w:rsidP="00C22CD3">
      <w:pPr>
        <w:pStyle w:val="Pargrafdellista"/>
        <w:spacing w:after="0" w:line="276" w:lineRule="auto"/>
        <w:ind w:left="567"/>
        <w:jc w:val="both"/>
        <w:rPr>
          <w:rFonts w:ascii="Arial" w:hAnsi="Arial" w:cs="Arial"/>
        </w:rPr>
      </w:pPr>
    </w:p>
    <w:p w14:paraId="709852A0" w14:textId="3CDD7DD3" w:rsidR="00280A44" w:rsidRDefault="00C22CD3" w:rsidP="00C0456B">
      <w:pPr>
        <w:pStyle w:val="Pargrafdellista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C22CD3">
        <w:rPr>
          <w:rFonts w:ascii="Arial" w:hAnsi="Arial" w:cs="Arial"/>
        </w:rPr>
        <w:t>En virtut del Pacte Segon</w:t>
      </w:r>
      <w:r w:rsidR="00B5073A">
        <w:rPr>
          <w:rFonts w:ascii="Arial" w:hAnsi="Arial" w:cs="Arial"/>
        </w:rPr>
        <w:t xml:space="preserve"> del Conveni</w:t>
      </w:r>
      <w:r w:rsidRPr="00C22CD3">
        <w:rPr>
          <w:rFonts w:ascii="Arial" w:hAnsi="Arial" w:cs="Arial"/>
        </w:rPr>
        <w:t xml:space="preserve">, </w:t>
      </w:r>
      <w:r w:rsidR="00093E5D" w:rsidRPr="00C22CD3">
        <w:rPr>
          <w:rFonts w:ascii="Arial" w:hAnsi="Arial" w:cs="Arial"/>
        </w:rPr>
        <w:t xml:space="preserve">l’Agència </w:t>
      </w:r>
      <w:r w:rsidR="00290E6E">
        <w:rPr>
          <w:rFonts w:ascii="Arial" w:hAnsi="Arial" w:cs="Arial"/>
        </w:rPr>
        <w:t>es compromet</w:t>
      </w:r>
      <w:r w:rsidR="000621A7">
        <w:rPr>
          <w:rFonts w:ascii="Arial" w:hAnsi="Arial" w:cs="Arial"/>
        </w:rPr>
        <w:t xml:space="preserve"> </w:t>
      </w:r>
      <w:r w:rsidR="00AF5774">
        <w:rPr>
          <w:rFonts w:ascii="Arial" w:hAnsi="Arial" w:cs="Arial"/>
        </w:rPr>
        <w:t>a donar suport a la Sindicatura en</w:t>
      </w:r>
      <w:r w:rsidR="000621A7">
        <w:rPr>
          <w:rFonts w:ascii="Arial" w:hAnsi="Arial" w:cs="Arial"/>
        </w:rPr>
        <w:t xml:space="preserve"> la </w:t>
      </w:r>
      <w:r w:rsidR="000621A7" w:rsidRPr="000621A7">
        <w:rPr>
          <w:rFonts w:ascii="Arial" w:hAnsi="Arial" w:cs="Arial"/>
        </w:rPr>
        <w:t xml:space="preserve">millora contínua de les seves capacitats de prevenció, protecció, detecció i resposta davant incidents de seguretat. </w:t>
      </w:r>
      <w:r w:rsidR="00104F79">
        <w:rPr>
          <w:rFonts w:ascii="Arial" w:hAnsi="Arial" w:cs="Arial"/>
        </w:rPr>
        <w:t>Concretament, en</w:t>
      </w:r>
      <w:r w:rsidR="00AF5774">
        <w:rPr>
          <w:rFonts w:ascii="Arial" w:hAnsi="Arial" w:cs="Arial"/>
        </w:rPr>
        <w:t>: (i)</w:t>
      </w:r>
      <w:r w:rsidR="00104F79">
        <w:rPr>
          <w:rFonts w:ascii="Arial" w:hAnsi="Arial" w:cs="Arial"/>
        </w:rPr>
        <w:t xml:space="preserve"> la col·laboració d’establiment </w:t>
      </w:r>
      <w:r w:rsidR="003B6EC5">
        <w:rPr>
          <w:rFonts w:ascii="Arial" w:hAnsi="Arial" w:cs="Arial"/>
        </w:rPr>
        <w:t xml:space="preserve">i actualització d’un pla de </w:t>
      </w:r>
      <w:r w:rsidR="00AF5774">
        <w:rPr>
          <w:rFonts w:ascii="Arial" w:hAnsi="Arial" w:cs="Arial"/>
        </w:rPr>
        <w:t xml:space="preserve">seguretat; (ii) </w:t>
      </w:r>
      <w:r w:rsidR="00680541">
        <w:rPr>
          <w:rFonts w:ascii="Arial" w:hAnsi="Arial" w:cs="Arial"/>
        </w:rPr>
        <w:t>l’assessorament tècnic i de suport per la identificació de prioritats d’actuació; (iii) la resposta a ciberincidents i assistència tècnica</w:t>
      </w:r>
      <w:r w:rsidR="005054EB">
        <w:rPr>
          <w:rFonts w:ascii="Arial" w:hAnsi="Arial" w:cs="Arial"/>
        </w:rPr>
        <w:t xml:space="preserve"> i (iv) organització d’activitats de sensibilització i formació.</w:t>
      </w:r>
    </w:p>
    <w:p w14:paraId="46401120" w14:textId="77777777" w:rsidR="00680541" w:rsidRPr="00072E01" w:rsidRDefault="00680541" w:rsidP="00680541">
      <w:pPr>
        <w:spacing w:after="0" w:line="276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22DDE3ED" w14:textId="4DF1797E" w:rsidR="00680541" w:rsidRDefault="00144D87" w:rsidP="00680541">
      <w:pPr>
        <w:pStyle w:val="Pargrafdellista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la seva banda, </w:t>
      </w:r>
      <w:r w:rsidR="00BE0B2F">
        <w:rPr>
          <w:rFonts w:ascii="Arial" w:hAnsi="Arial" w:cs="Arial"/>
        </w:rPr>
        <w:t>la Sindicatura</w:t>
      </w:r>
      <w:r w:rsidR="00E879D6">
        <w:rPr>
          <w:rFonts w:ascii="Arial" w:hAnsi="Arial" w:cs="Arial"/>
        </w:rPr>
        <w:t xml:space="preserve"> es compromet</w:t>
      </w:r>
      <w:r w:rsidR="00D07587">
        <w:rPr>
          <w:rFonts w:ascii="Arial" w:hAnsi="Arial" w:cs="Arial"/>
        </w:rPr>
        <w:t>, entre d’altres,</w:t>
      </w:r>
      <w:r w:rsidR="00E879D6">
        <w:rPr>
          <w:rFonts w:ascii="Arial" w:hAnsi="Arial" w:cs="Arial"/>
        </w:rPr>
        <w:t xml:space="preserve"> a utilitzar</w:t>
      </w:r>
      <w:r w:rsidR="00452DB4">
        <w:rPr>
          <w:rFonts w:ascii="Arial" w:hAnsi="Arial" w:cs="Arial"/>
        </w:rPr>
        <w:t xml:space="preserve"> les eines, plataformes, solucions, materials, informació i altres elements</w:t>
      </w:r>
      <w:r w:rsidR="00FD2B60">
        <w:rPr>
          <w:rFonts w:ascii="Arial" w:hAnsi="Arial" w:cs="Arial"/>
        </w:rPr>
        <w:t xml:space="preserve"> que posi a la seva disposició l’Agència</w:t>
      </w:r>
      <w:r w:rsidR="00A87AA8">
        <w:rPr>
          <w:rFonts w:ascii="Arial" w:hAnsi="Arial" w:cs="Arial"/>
        </w:rPr>
        <w:t>, i</w:t>
      </w:r>
      <w:r w:rsidR="003F28B6">
        <w:rPr>
          <w:rFonts w:ascii="Arial" w:hAnsi="Arial" w:cs="Arial"/>
        </w:rPr>
        <w:t xml:space="preserve"> proporcionar els mitjans tècnics i humans</w:t>
      </w:r>
      <w:r w:rsidR="00452DB4">
        <w:rPr>
          <w:rFonts w:ascii="Arial" w:hAnsi="Arial" w:cs="Arial"/>
        </w:rPr>
        <w:t xml:space="preserve"> </w:t>
      </w:r>
      <w:r w:rsidR="00186FCF" w:rsidRPr="00186FCF">
        <w:rPr>
          <w:rFonts w:ascii="Arial" w:hAnsi="Arial" w:cs="Arial"/>
        </w:rPr>
        <w:t xml:space="preserve">necessaris per a desplegar les prestacions de </w:t>
      </w:r>
      <w:r w:rsidR="009F5774" w:rsidRPr="00186FCF">
        <w:rPr>
          <w:rFonts w:ascii="Arial" w:hAnsi="Arial" w:cs="Arial"/>
        </w:rPr>
        <w:t>Ciberseguretat</w:t>
      </w:r>
      <w:r w:rsidR="00186FCF" w:rsidRPr="00186FCF">
        <w:rPr>
          <w:rFonts w:ascii="Arial" w:hAnsi="Arial" w:cs="Arial"/>
        </w:rPr>
        <w:t xml:space="preserve"> en els serveis de la Sindicatura</w:t>
      </w:r>
      <w:r w:rsidR="00186FCF">
        <w:rPr>
          <w:rFonts w:ascii="Arial" w:hAnsi="Arial" w:cs="Arial"/>
        </w:rPr>
        <w:t>.</w:t>
      </w:r>
    </w:p>
    <w:p w14:paraId="027AEFFB" w14:textId="77777777" w:rsidR="00104579" w:rsidRDefault="00104579" w:rsidP="00680541">
      <w:pPr>
        <w:pStyle w:val="Pargrafdellista"/>
        <w:spacing w:after="0" w:line="276" w:lineRule="auto"/>
        <w:ind w:left="567"/>
        <w:jc w:val="both"/>
        <w:rPr>
          <w:rFonts w:ascii="Arial" w:hAnsi="Arial" w:cs="Arial"/>
        </w:rPr>
      </w:pPr>
    </w:p>
    <w:p w14:paraId="79BBE246" w14:textId="67BF695F" w:rsidR="00104579" w:rsidRDefault="00104579" w:rsidP="00104579">
      <w:pPr>
        <w:pStyle w:val="Pargrafdellista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conformitat amb el Pacte </w:t>
      </w:r>
      <w:r w:rsidR="00A737B1">
        <w:rPr>
          <w:rFonts w:ascii="Arial" w:hAnsi="Arial" w:cs="Arial"/>
        </w:rPr>
        <w:t xml:space="preserve">Tercer, </w:t>
      </w:r>
      <w:r w:rsidR="002D7AE2">
        <w:rPr>
          <w:rFonts w:ascii="Arial" w:hAnsi="Arial" w:cs="Arial"/>
        </w:rPr>
        <w:t>les actuacions en matèria de Ciberseguretat</w:t>
      </w:r>
      <w:r w:rsidR="00013871">
        <w:rPr>
          <w:rFonts w:ascii="Arial" w:hAnsi="Arial" w:cs="Arial"/>
        </w:rPr>
        <w:t xml:space="preserve"> </w:t>
      </w:r>
      <w:r w:rsidR="00D23876">
        <w:rPr>
          <w:rFonts w:ascii="Arial" w:hAnsi="Arial" w:cs="Arial"/>
        </w:rPr>
        <w:t xml:space="preserve">que prestarà l’Agència </w:t>
      </w:r>
      <w:r w:rsidR="00013871">
        <w:rPr>
          <w:rFonts w:ascii="Arial" w:hAnsi="Arial" w:cs="Arial"/>
        </w:rPr>
        <w:t>es divideixen en dues categories: (i) la governança i el desplegament del model de Ciberseguretat i (ii) les actuacions específiques de Ciberseguretat.</w:t>
      </w:r>
    </w:p>
    <w:p w14:paraId="6992E118" w14:textId="77777777" w:rsidR="00013871" w:rsidRDefault="00013871" w:rsidP="00013871">
      <w:pPr>
        <w:pStyle w:val="Pargrafdellista"/>
        <w:spacing w:after="0" w:line="276" w:lineRule="auto"/>
        <w:ind w:left="567"/>
        <w:jc w:val="both"/>
        <w:rPr>
          <w:rFonts w:ascii="Arial" w:hAnsi="Arial" w:cs="Arial"/>
        </w:rPr>
      </w:pPr>
    </w:p>
    <w:p w14:paraId="18C16139" w14:textId="37F991F6" w:rsidR="00013871" w:rsidRPr="00072E01" w:rsidRDefault="009474A4" w:rsidP="00013871">
      <w:pPr>
        <w:pStyle w:val="Pargrafdellista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D’acord amb l’establert en aquest pacte tercer, </w:t>
      </w:r>
      <w:r w:rsidR="00C82F03">
        <w:rPr>
          <w:rFonts w:ascii="Arial" w:hAnsi="Arial" w:cs="Arial"/>
        </w:rPr>
        <w:t xml:space="preserve">dites actuacions específiques han de ser acordades per Addenda, la qual </w:t>
      </w:r>
      <w:r w:rsidR="00E13DCF">
        <w:rPr>
          <w:rFonts w:ascii="Arial" w:hAnsi="Arial" w:cs="Arial"/>
        </w:rPr>
        <w:t xml:space="preserve">detallarà el contingut d’aquestes i establirà el cost concret de cadascuna. </w:t>
      </w:r>
    </w:p>
    <w:p w14:paraId="6C5A2030" w14:textId="77777777" w:rsidR="000D7D7B" w:rsidRPr="00072E01" w:rsidRDefault="000D7D7B" w:rsidP="000D7D7B">
      <w:pPr>
        <w:pStyle w:val="Pargrafdellista"/>
        <w:spacing w:after="0" w:line="276" w:lineRule="auto"/>
        <w:jc w:val="both"/>
        <w:rPr>
          <w:rFonts w:ascii="Arial" w:hAnsi="Arial" w:cs="Arial"/>
        </w:rPr>
      </w:pPr>
    </w:p>
    <w:p w14:paraId="2652A74B" w14:textId="3528CFE3" w:rsidR="0097325B" w:rsidRPr="00072E01" w:rsidRDefault="00421F8F" w:rsidP="00586E0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virtut de l’anterior, </w:t>
      </w:r>
      <w:r w:rsidR="00F10354">
        <w:rPr>
          <w:rFonts w:ascii="Arial" w:hAnsi="Arial" w:cs="Arial"/>
        </w:rPr>
        <w:t xml:space="preserve">les dues parts acorden </w:t>
      </w:r>
      <w:r w:rsidR="00586E0F">
        <w:rPr>
          <w:rFonts w:ascii="Arial" w:hAnsi="Arial" w:cs="Arial"/>
        </w:rPr>
        <w:t>que la present “Addenda” estigui subjecte als següents</w:t>
      </w:r>
      <w:r w:rsidR="0097325B" w:rsidRPr="00072E01">
        <w:rPr>
          <w:rFonts w:ascii="Arial" w:hAnsi="Arial" w:cs="Arial"/>
        </w:rPr>
        <w:t xml:space="preserve"> </w:t>
      </w:r>
    </w:p>
    <w:p w14:paraId="4BE8B92B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49E0E7B" w14:textId="77777777" w:rsidR="001776CB" w:rsidRDefault="001776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A14870E" w14:textId="755AB9FD" w:rsidR="0097325B" w:rsidRPr="00072E01" w:rsidRDefault="0097325B" w:rsidP="0097325B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072E01">
        <w:rPr>
          <w:rFonts w:ascii="Arial" w:hAnsi="Arial" w:cs="Arial"/>
          <w:b/>
          <w:bCs/>
        </w:rPr>
        <w:lastRenderedPageBreak/>
        <w:t>PACTES</w:t>
      </w:r>
    </w:p>
    <w:p w14:paraId="408DF529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  <w:b/>
          <w:bCs/>
        </w:rPr>
      </w:pPr>
    </w:p>
    <w:p w14:paraId="5FAC520F" w14:textId="77777777" w:rsidR="0097325B" w:rsidRPr="00072E01" w:rsidRDefault="0097325B" w:rsidP="0097325B">
      <w:pPr>
        <w:spacing w:after="0" w:line="276" w:lineRule="auto"/>
        <w:contextualSpacing/>
        <w:rPr>
          <w:rFonts w:ascii="Arial" w:hAnsi="Arial" w:cs="Arial"/>
        </w:rPr>
      </w:pPr>
    </w:p>
    <w:p w14:paraId="70D4F09F" w14:textId="7AA7D853" w:rsidR="0097325B" w:rsidRPr="00072E01" w:rsidRDefault="00186FCF" w:rsidP="0097325B">
      <w:pPr>
        <w:spacing w:after="0" w:line="276" w:lineRule="auto"/>
        <w:ind w:left="1418" w:hanging="141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</w:t>
      </w:r>
      <w:r w:rsidR="0097325B" w:rsidRPr="00072E01">
        <w:rPr>
          <w:rFonts w:ascii="Arial" w:hAnsi="Arial" w:cs="Arial"/>
          <w:b/>
          <w:bCs/>
        </w:rPr>
        <w:t>.-</w:t>
      </w:r>
      <w:r w:rsidR="0097325B" w:rsidRPr="00072E01">
        <w:rPr>
          <w:rFonts w:ascii="Arial" w:hAnsi="Arial" w:cs="Arial"/>
          <w:b/>
          <w:bCs/>
        </w:rPr>
        <w:tab/>
      </w:r>
      <w:r w:rsidR="00D9197E">
        <w:rPr>
          <w:rFonts w:ascii="Arial" w:hAnsi="Arial" w:cs="Arial"/>
          <w:b/>
          <w:bCs/>
        </w:rPr>
        <w:t>ACTUACIONS ESPE</w:t>
      </w:r>
      <w:r w:rsidR="00D02F87">
        <w:rPr>
          <w:rFonts w:ascii="Arial" w:hAnsi="Arial" w:cs="Arial"/>
          <w:b/>
          <w:bCs/>
        </w:rPr>
        <w:t>C</w:t>
      </w:r>
      <w:r w:rsidR="00D9197E">
        <w:rPr>
          <w:rFonts w:ascii="Arial" w:hAnsi="Arial" w:cs="Arial"/>
          <w:b/>
          <w:bCs/>
        </w:rPr>
        <w:t>ÍFIQUES DE CIBERSEGURETAT</w:t>
      </w:r>
    </w:p>
    <w:p w14:paraId="74F54023" w14:textId="77777777" w:rsidR="0097325B" w:rsidRPr="00072E01" w:rsidRDefault="0097325B" w:rsidP="0097325B">
      <w:pPr>
        <w:spacing w:after="0" w:line="276" w:lineRule="auto"/>
        <w:jc w:val="both"/>
        <w:rPr>
          <w:rFonts w:ascii="Arial" w:hAnsi="Arial" w:cs="Arial"/>
          <w:b/>
          <w:bCs/>
          <w:vanish/>
        </w:rPr>
      </w:pPr>
    </w:p>
    <w:p w14:paraId="7FAA63CA" w14:textId="77777777" w:rsidR="0097325B" w:rsidRPr="00072E01" w:rsidRDefault="0097325B" w:rsidP="0097325B">
      <w:pPr>
        <w:pStyle w:val="Pargrafdellista"/>
        <w:spacing w:after="0" w:line="276" w:lineRule="auto"/>
        <w:ind w:left="360"/>
        <w:jc w:val="both"/>
        <w:rPr>
          <w:rFonts w:ascii="Arial" w:hAnsi="Arial" w:cs="Arial"/>
          <w:b/>
          <w:bCs/>
          <w:vanish/>
        </w:rPr>
      </w:pPr>
    </w:p>
    <w:p w14:paraId="3468F034" w14:textId="77777777" w:rsidR="0097325B" w:rsidRPr="00072E01" w:rsidRDefault="0097325B" w:rsidP="0097325B">
      <w:pPr>
        <w:spacing w:after="0" w:line="276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032556EF" w14:textId="13572095" w:rsidR="00183494" w:rsidRPr="00586E0F" w:rsidRDefault="00D9197E" w:rsidP="00AE2B1A">
      <w:pPr>
        <w:spacing w:after="120" w:line="276" w:lineRule="auto"/>
        <w:jc w:val="both"/>
        <w:rPr>
          <w:rFonts w:ascii="Arial" w:hAnsi="Arial" w:cs="Arial"/>
        </w:rPr>
      </w:pPr>
      <w:r w:rsidRPr="00586E0F">
        <w:rPr>
          <w:rFonts w:ascii="Arial" w:hAnsi="Arial" w:cs="Arial"/>
        </w:rPr>
        <w:t xml:space="preserve">En virtut del que disposa el pacte tercer del Conveni, </w:t>
      </w:r>
      <w:r w:rsidR="006334EC" w:rsidRPr="00586E0F">
        <w:rPr>
          <w:rFonts w:ascii="Arial" w:hAnsi="Arial" w:cs="Arial"/>
        </w:rPr>
        <w:t xml:space="preserve">a continuació es detallen les actuacions, i els costos </w:t>
      </w:r>
      <w:r w:rsidR="004C41AC">
        <w:rPr>
          <w:rFonts w:ascii="Arial" w:hAnsi="Arial" w:cs="Arial"/>
        </w:rPr>
        <w:t xml:space="preserve">concrets </w:t>
      </w:r>
      <w:r w:rsidR="006334EC" w:rsidRPr="00586E0F">
        <w:rPr>
          <w:rFonts w:ascii="Arial" w:hAnsi="Arial" w:cs="Arial"/>
        </w:rPr>
        <w:t xml:space="preserve">de cadascuna, que l’Agència </w:t>
      </w:r>
      <w:r w:rsidR="005D69CD">
        <w:rPr>
          <w:rFonts w:ascii="Arial" w:hAnsi="Arial" w:cs="Arial"/>
        </w:rPr>
        <w:t xml:space="preserve">de Ciberseguretat </w:t>
      </w:r>
      <w:r w:rsidR="006334EC" w:rsidRPr="00586E0F">
        <w:rPr>
          <w:rFonts w:ascii="Arial" w:hAnsi="Arial" w:cs="Arial"/>
        </w:rPr>
        <w:t xml:space="preserve">incorpora en </w:t>
      </w:r>
      <w:r w:rsidR="00A06997" w:rsidRPr="00586E0F">
        <w:rPr>
          <w:rFonts w:ascii="Arial" w:hAnsi="Arial" w:cs="Arial"/>
        </w:rPr>
        <w:t xml:space="preserve">el seu suport </w:t>
      </w:r>
      <w:r w:rsidR="00183494">
        <w:rPr>
          <w:rFonts w:ascii="Arial" w:hAnsi="Arial" w:cs="Arial"/>
        </w:rPr>
        <w:t>a les</w:t>
      </w:r>
      <w:r w:rsidR="00A06997" w:rsidRPr="00586E0F">
        <w:rPr>
          <w:rFonts w:ascii="Arial" w:hAnsi="Arial" w:cs="Arial"/>
        </w:rPr>
        <w:t xml:space="preserve"> capacitats de prevenció, protecció, detecció i resposta davant incidents de seguretat</w:t>
      </w:r>
      <w:r w:rsidR="00183494">
        <w:rPr>
          <w:rFonts w:ascii="Arial" w:hAnsi="Arial" w:cs="Arial"/>
        </w:rPr>
        <w:t xml:space="preserve"> de la Sindicatura:</w:t>
      </w:r>
    </w:p>
    <w:p w14:paraId="70FF418C" w14:textId="652DD80E" w:rsidR="005A36F7" w:rsidRDefault="00956E95" w:rsidP="00551B25">
      <w:pPr>
        <w:pStyle w:val="TEXT"/>
        <w:numPr>
          <w:ilvl w:val="0"/>
          <w:numId w:val="13"/>
        </w:numPr>
        <w:spacing w:after="120"/>
        <w:ind w:left="714" w:hanging="357"/>
      </w:pPr>
      <w:r w:rsidRPr="00551B25">
        <w:rPr>
          <w:rFonts w:cs="Arial"/>
        </w:rPr>
        <w:t>Desplegament del model de ciberseguretat</w:t>
      </w:r>
      <w:r w:rsidR="00757D48" w:rsidRPr="00551B25">
        <w:rPr>
          <w:rFonts w:cs="Arial"/>
        </w:rPr>
        <w:t>:</w:t>
      </w:r>
      <w:r w:rsidRPr="00551B25">
        <w:rPr>
          <w:rFonts w:cs="Arial"/>
        </w:rPr>
        <w:t xml:space="preserve"> </w:t>
      </w:r>
      <w:r w:rsidRPr="00551B25">
        <w:rPr>
          <w:rFonts w:cs="Arial"/>
          <w:b/>
          <w:bCs/>
        </w:rPr>
        <w:t>fase 1</w:t>
      </w:r>
      <w:r w:rsidRPr="00551B25">
        <w:rPr>
          <w:rFonts w:cs="Arial"/>
        </w:rPr>
        <w:t xml:space="preserve">, </w:t>
      </w:r>
      <w:r w:rsidRPr="00551B25">
        <w:rPr>
          <w:rFonts w:cs="Arial"/>
          <w:b/>
          <w:bCs/>
        </w:rPr>
        <w:t>d</w:t>
      </w:r>
      <w:r w:rsidR="00E30D5F" w:rsidRPr="00551B25">
        <w:rPr>
          <w:rFonts w:cs="Arial"/>
          <w:b/>
          <w:bCs/>
        </w:rPr>
        <w:t>iagnòstic</w:t>
      </w:r>
      <w:r w:rsidRPr="00551B25">
        <w:rPr>
          <w:rFonts w:cs="Arial"/>
        </w:rPr>
        <w:t>.</w:t>
      </w:r>
      <w:r w:rsidRPr="00551B25">
        <w:rPr>
          <w:b/>
          <w:bCs/>
        </w:rPr>
        <w:t xml:space="preserve"> </w:t>
      </w:r>
      <w:r w:rsidRPr="00956E95">
        <w:t>I</w:t>
      </w:r>
      <w:r w:rsidR="005A36F7" w:rsidRPr="00F84213">
        <w:t>dentificació del grau actual de protecció respecte les principals amenaces aplicable</w:t>
      </w:r>
      <w:r w:rsidR="005A36F7">
        <w:t>s</w:t>
      </w:r>
      <w:r>
        <w:t>.</w:t>
      </w:r>
      <w:r w:rsidR="00551B25" w:rsidRPr="00551B25">
        <w:rPr>
          <w:rFonts w:ascii="Open Sans" w:hAnsi="Open Sans" w:cs="Open Sans"/>
          <w:color w:val="333333"/>
          <w:kern w:val="2"/>
          <w:sz w:val="24"/>
          <w:shd w:val="clear" w:color="auto" w:fill="F5F5F5"/>
          <w14:ligatures w14:val="standardContextual"/>
        </w:rPr>
        <w:t xml:space="preserve"> </w:t>
      </w:r>
      <w:r w:rsidR="00551B25" w:rsidRPr="00551B25">
        <w:t>Per a això, s'executaran els següents treballs</w:t>
      </w:r>
      <w:r w:rsidR="00551B25">
        <w:t>:</w:t>
      </w:r>
    </w:p>
    <w:p w14:paraId="0B827F1D" w14:textId="29AF5F91" w:rsidR="005A36F7" w:rsidRPr="00757D48" w:rsidRDefault="005A36F7" w:rsidP="00757D48">
      <w:pPr>
        <w:pStyle w:val="TEXT"/>
        <w:numPr>
          <w:ilvl w:val="0"/>
          <w:numId w:val="9"/>
        </w:numPr>
        <w:spacing w:after="120"/>
        <w:ind w:left="1412" w:hanging="357"/>
        <w:rPr>
          <w:sz w:val="20"/>
          <w:szCs w:val="22"/>
        </w:rPr>
      </w:pPr>
      <w:r w:rsidRPr="00164546">
        <w:rPr>
          <w:sz w:val="20"/>
          <w:szCs w:val="22"/>
          <w:u w:val="single"/>
        </w:rPr>
        <w:t>P</w:t>
      </w:r>
      <w:r w:rsidRPr="00164546">
        <w:rPr>
          <w:color w:val="000000" w:themeColor="text1"/>
          <w:sz w:val="20"/>
          <w:szCs w:val="22"/>
          <w:u w:val="single"/>
        </w:rPr>
        <w:t>rova d’intrusió</w:t>
      </w:r>
      <w:r w:rsidR="006C547C" w:rsidRPr="00164546">
        <w:rPr>
          <w:color w:val="000000" w:themeColor="text1"/>
          <w:sz w:val="20"/>
          <w:szCs w:val="22"/>
          <w:u w:val="single"/>
        </w:rPr>
        <w:t xml:space="preserve"> </w:t>
      </w:r>
      <w:r w:rsidRPr="00164546">
        <w:rPr>
          <w:color w:val="000000" w:themeColor="text1"/>
          <w:sz w:val="20"/>
          <w:szCs w:val="22"/>
          <w:u w:val="single"/>
        </w:rPr>
        <w:t>de seguretat</w:t>
      </w:r>
      <w:r w:rsidRPr="00757D48">
        <w:rPr>
          <w:color w:val="000000" w:themeColor="text1"/>
          <w:sz w:val="20"/>
          <w:szCs w:val="22"/>
        </w:rPr>
        <w:t xml:space="preserve"> exhaustiva per identificar les vulnerabilitats en les infraestructures de la Sindicatura de Comptes. E</w:t>
      </w:r>
      <w:r w:rsidRPr="00757D48">
        <w:rPr>
          <w:sz w:val="20"/>
          <w:szCs w:val="22"/>
        </w:rPr>
        <w:t>s realitzarà en modalitat ‘caixa gris’ seguint les principals metodologies reconegudes internacionalment. Inclouran com a mínim els següents grups de proves:</w:t>
      </w:r>
    </w:p>
    <w:p w14:paraId="28533AB4" w14:textId="77777777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>Visibilitat i descobriment de xarxa i serveis.</w:t>
      </w:r>
    </w:p>
    <w:p w14:paraId="1BFFC397" w14:textId="77777777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>Identificació de ports i serveis de xarxa.</w:t>
      </w:r>
    </w:p>
    <w:p w14:paraId="3DFF342C" w14:textId="77777777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 xml:space="preserve">Identificació i prova dels sistemes de protecció. </w:t>
      </w:r>
    </w:p>
    <w:p w14:paraId="02815E4B" w14:textId="77777777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>Revisió de tecnologies i configuracions dels serveis.</w:t>
      </w:r>
    </w:p>
    <w:p w14:paraId="380B22B6" w14:textId="77777777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>Password cracking.</w:t>
      </w:r>
    </w:p>
    <w:p w14:paraId="1E3F7431" w14:textId="61D2CE48" w:rsidR="005A36F7" w:rsidRPr="00757D48" w:rsidRDefault="005A36F7" w:rsidP="00956E95">
      <w:pPr>
        <w:pStyle w:val="TEXT"/>
        <w:numPr>
          <w:ilvl w:val="0"/>
          <w:numId w:val="14"/>
        </w:numPr>
        <w:rPr>
          <w:sz w:val="20"/>
          <w:szCs w:val="22"/>
        </w:rPr>
      </w:pPr>
      <w:r w:rsidRPr="00757D48">
        <w:rPr>
          <w:sz w:val="20"/>
          <w:szCs w:val="22"/>
        </w:rPr>
        <w:t>Testeig de tècniques de les principals amenaces de l’àmbit identificades per l’Agència.</w:t>
      </w:r>
    </w:p>
    <w:p w14:paraId="341A3868" w14:textId="24524D95" w:rsidR="00551B25" w:rsidRPr="00551B25" w:rsidRDefault="005A36F7" w:rsidP="00551B25">
      <w:pPr>
        <w:pStyle w:val="TEXT"/>
        <w:numPr>
          <w:ilvl w:val="0"/>
          <w:numId w:val="14"/>
        </w:numPr>
        <w:spacing w:after="120"/>
        <w:ind w:left="1775" w:hanging="357"/>
        <w:rPr>
          <w:sz w:val="20"/>
          <w:szCs w:val="22"/>
        </w:rPr>
      </w:pPr>
      <w:r w:rsidRPr="00757D48">
        <w:rPr>
          <w:sz w:val="20"/>
          <w:szCs w:val="22"/>
        </w:rPr>
        <w:t>Explotació de les principals vulnerabilitats descobertes, evitant impacte al servei o a la seguretat de les dades.</w:t>
      </w:r>
    </w:p>
    <w:p w14:paraId="11C4CDF5" w14:textId="77777777" w:rsidR="005A36F7" w:rsidRPr="00551B25" w:rsidRDefault="005A36F7" w:rsidP="00551B25">
      <w:pPr>
        <w:pStyle w:val="TEXT"/>
        <w:numPr>
          <w:ilvl w:val="0"/>
          <w:numId w:val="9"/>
        </w:numPr>
        <w:spacing w:after="120"/>
        <w:ind w:left="1412" w:hanging="357"/>
        <w:rPr>
          <w:sz w:val="20"/>
          <w:szCs w:val="22"/>
        </w:rPr>
      </w:pPr>
      <w:r w:rsidRPr="00164546">
        <w:rPr>
          <w:sz w:val="20"/>
          <w:szCs w:val="22"/>
          <w:u w:val="single"/>
        </w:rPr>
        <w:t>Realitzar una consultoria de seguretat</w:t>
      </w:r>
      <w:r w:rsidRPr="00551B25">
        <w:rPr>
          <w:b/>
          <w:bCs/>
          <w:sz w:val="20"/>
          <w:szCs w:val="22"/>
        </w:rPr>
        <w:t xml:space="preserve"> </w:t>
      </w:r>
      <w:r w:rsidRPr="00551B25">
        <w:rPr>
          <w:sz w:val="20"/>
          <w:szCs w:val="22"/>
        </w:rPr>
        <w:t xml:space="preserve">(arquitectura, Esquema Nacional de Seguretat - ENS, còpies de seguretat, segmentació de xarxes, obsolescència, etc.) per avaluar el nivell de protecció existent i identificar les millores necessàries. </w:t>
      </w:r>
    </w:p>
    <w:p w14:paraId="43E57077" w14:textId="24EB0158" w:rsidR="005A36F7" w:rsidRDefault="005A36F7" w:rsidP="00AE2B1A">
      <w:pPr>
        <w:pStyle w:val="TEXT"/>
        <w:spacing w:after="120"/>
        <w:ind w:left="709"/>
      </w:pPr>
      <w:r>
        <w:t>Com a resultat d’aquesta fase s’obtindrà un informe d’Anàlisi del grau d’exposició en vers les principals amenaces aplicables que inclourà</w:t>
      </w:r>
      <w:r w:rsidR="006C547C">
        <w:t xml:space="preserve"> la s</w:t>
      </w:r>
      <w:r>
        <w:t>ituació actual</w:t>
      </w:r>
      <w:r w:rsidR="006C547C">
        <w:t>, les f</w:t>
      </w:r>
      <w:r>
        <w:t>ebleses identificades pe</w:t>
      </w:r>
      <w:r w:rsidR="008B5BB3">
        <w:t>r la prova d’intrusió</w:t>
      </w:r>
      <w:r w:rsidR="006C547C">
        <w:t>, així com el grau</w:t>
      </w:r>
      <w:r>
        <w:t xml:space="preserve"> d’alineament a l’ENS.</w:t>
      </w:r>
    </w:p>
    <w:p w14:paraId="45221FE7" w14:textId="1FD69519" w:rsidR="00AE2B1A" w:rsidRDefault="00AE2B1A" w:rsidP="00AE2B1A">
      <w:pPr>
        <w:pStyle w:val="TEXT"/>
        <w:numPr>
          <w:ilvl w:val="0"/>
          <w:numId w:val="13"/>
        </w:numPr>
        <w:spacing w:after="120"/>
        <w:ind w:left="714" w:hanging="357"/>
      </w:pPr>
      <w:r w:rsidRPr="00551B25">
        <w:rPr>
          <w:rFonts w:cs="Arial"/>
        </w:rPr>
        <w:t xml:space="preserve">Desplegament del model de ciberseguretat: </w:t>
      </w:r>
      <w:r w:rsidRPr="00551B25">
        <w:rPr>
          <w:rFonts w:cs="Arial"/>
          <w:b/>
          <w:bCs/>
        </w:rPr>
        <w:t xml:space="preserve">fase </w:t>
      </w:r>
      <w:r w:rsidR="00CD797C">
        <w:rPr>
          <w:rFonts w:cs="Arial"/>
          <w:b/>
          <w:bCs/>
        </w:rPr>
        <w:t>2</w:t>
      </w:r>
      <w:r w:rsidRPr="00551B25">
        <w:rPr>
          <w:rFonts w:cs="Arial"/>
        </w:rPr>
        <w:t xml:space="preserve">, </w:t>
      </w:r>
      <w:r w:rsidR="00CD797C">
        <w:rPr>
          <w:rFonts w:cs="Arial"/>
          <w:b/>
          <w:bCs/>
        </w:rPr>
        <w:t>pla de seguretat</w:t>
      </w:r>
      <w:r w:rsidRPr="00551B25">
        <w:rPr>
          <w:rFonts w:cs="Arial"/>
        </w:rPr>
        <w:t>.</w:t>
      </w:r>
      <w:r w:rsidRPr="00551B25">
        <w:rPr>
          <w:b/>
          <w:bCs/>
        </w:rPr>
        <w:t xml:space="preserve"> </w:t>
      </w:r>
      <w:r w:rsidR="00527883">
        <w:t>Amb els resultats del diagnòstic de la fase 1, d</w:t>
      </w:r>
      <w:r w:rsidR="003A772E">
        <w:t>eterminació</w:t>
      </w:r>
      <w:r w:rsidR="00F30ACA">
        <w:t xml:space="preserve"> del conjunt de projectes per reduir </w:t>
      </w:r>
      <w:r w:rsidR="0009111B">
        <w:t xml:space="preserve">les febleses i aconseguir ser més resilient davant </w:t>
      </w:r>
      <w:r w:rsidR="00527883">
        <w:t xml:space="preserve">les </w:t>
      </w:r>
      <w:r w:rsidR="0009111B">
        <w:t>amena</w:t>
      </w:r>
      <w:r w:rsidR="00527883">
        <w:t>c</w:t>
      </w:r>
      <w:r w:rsidR="0009111B">
        <w:t>es</w:t>
      </w:r>
      <w:r w:rsidR="00527883">
        <w:t xml:space="preserve"> (pla de seguretat). </w:t>
      </w:r>
    </w:p>
    <w:p w14:paraId="6172702E" w14:textId="532362D4" w:rsidR="005A36F7" w:rsidRPr="001F133B" w:rsidRDefault="00527883" w:rsidP="005A36F7">
      <w:pPr>
        <w:pStyle w:val="TEXT"/>
        <w:numPr>
          <w:ilvl w:val="0"/>
          <w:numId w:val="13"/>
        </w:numPr>
        <w:spacing w:after="120"/>
        <w:ind w:left="714" w:hanging="357"/>
        <w:rPr>
          <w:bCs/>
          <w:lang w:val="es-ES"/>
        </w:rPr>
      </w:pPr>
      <w:r>
        <w:t>Desplegament del model de cibersegureta</w:t>
      </w:r>
      <w:r w:rsidR="003A6F0D">
        <w:t xml:space="preserve">t: </w:t>
      </w:r>
      <w:r w:rsidRPr="001F133B">
        <w:rPr>
          <w:b/>
          <w:bCs/>
        </w:rPr>
        <w:t>f</w:t>
      </w:r>
      <w:r w:rsidR="005A36F7" w:rsidRPr="001F133B">
        <w:rPr>
          <w:b/>
          <w:bCs/>
        </w:rPr>
        <w:t>ase 3</w:t>
      </w:r>
      <w:r w:rsidR="001F133B" w:rsidRPr="001F133B">
        <w:rPr>
          <w:b/>
          <w:bCs/>
        </w:rPr>
        <w:t>, i</w:t>
      </w:r>
      <w:r w:rsidR="005A36F7" w:rsidRPr="001F133B">
        <w:rPr>
          <w:b/>
          <w:bCs/>
        </w:rPr>
        <w:t>ntegració</w:t>
      </w:r>
      <w:r w:rsidR="001F133B" w:rsidRPr="001F133B">
        <w:rPr>
          <w:b/>
          <w:bCs/>
        </w:rPr>
        <w:t xml:space="preserve">. </w:t>
      </w:r>
      <w:r w:rsidR="005A36F7" w:rsidRPr="001F133B">
        <w:t>Desplegament dels processos i actuacions</w:t>
      </w:r>
      <w:r w:rsidR="005A36F7" w:rsidRPr="001F133B">
        <w:rPr>
          <w:b/>
          <w:bCs/>
        </w:rPr>
        <w:t xml:space="preserve"> </w:t>
      </w:r>
      <w:r w:rsidR="005A36F7" w:rsidRPr="001F133B">
        <w:rPr>
          <w:bCs/>
        </w:rPr>
        <w:t xml:space="preserve">associades a la integració amb l’Agència de Ciberseguretat de Catalunya: </w:t>
      </w:r>
    </w:p>
    <w:p w14:paraId="7178CCF5" w14:textId="71622368" w:rsidR="005A36F7" w:rsidRPr="003A6F0D" w:rsidRDefault="005A36F7" w:rsidP="001F133B">
      <w:pPr>
        <w:pStyle w:val="TEXT"/>
        <w:numPr>
          <w:ilvl w:val="0"/>
          <w:numId w:val="16"/>
        </w:numPr>
        <w:spacing w:before="120"/>
        <w:rPr>
          <w:color w:val="000000" w:themeColor="text1"/>
          <w:sz w:val="20"/>
          <w:szCs w:val="22"/>
        </w:rPr>
      </w:pPr>
      <w:r w:rsidRPr="00164546">
        <w:rPr>
          <w:color w:val="000000" w:themeColor="text1"/>
          <w:sz w:val="20"/>
          <w:szCs w:val="22"/>
          <w:u w:val="single"/>
        </w:rPr>
        <w:t>Integració dels logs i alertes</w:t>
      </w:r>
      <w:r w:rsidRPr="003A6F0D">
        <w:rPr>
          <w:color w:val="000000" w:themeColor="text1"/>
          <w:sz w:val="20"/>
          <w:szCs w:val="22"/>
        </w:rPr>
        <w:t xml:space="preserve"> generades pels sistemes de ciberseguretat de l’entitat dins dels sistemes de registres i alertes (SIEM, SOAR, DWH) del </w:t>
      </w:r>
      <w:r w:rsidR="003A6F0D">
        <w:rPr>
          <w:color w:val="000000" w:themeColor="text1"/>
          <w:sz w:val="20"/>
          <w:szCs w:val="22"/>
        </w:rPr>
        <w:t>s</w:t>
      </w:r>
      <w:r w:rsidRPr="003A6F0D">
        <w:rPr>
          <w:color w:val="000000" w:themeColor="text1"/>
          <w:sz w:val="20"/>
          <w:szCs w:val="22"/>
        </w:rPr>
        <w:t>ervei d’</w:t>
      </w:r>
      <w:r w:rsidR="003A6F0D">
        <w:rPr>
          <w:color w:val="000000" w:themeColor="text1"/>
          <w:sz w:val="20"/>
          <w:szCs w:val="22"/>
        </w:rPr>
        <w:t>o</w:t>
      </w:r>
      <w:r w:rsidRPr="003A6F0D">
        <w:rPr>
          <w:color w:val="000000" w:themeColor="text1"/>
          <w:sz w:val="20"/>
          <w:szCs w:val="22"/>
        </w:rPr>
        <w:t xml:space="preserve">peració de la </w:t>
      </w:r>
      <w:r w:rsidR="003A6F0D">
        <w:rPr>
          <w:color w:val="000000" w:themeColor="text1"/>
          <w:sz w:val="20"/>
          <w:szCs w:val="22"/>
        </w:rPr>
        <w:t>s</w:t>
      </w:r>
      <w:r w:rsidRPr="003A6F0D">
        <w:rPr>
          <w:color w:val="000000" w:themeColor="text1"/>
          <w:sz w:val="20"/>
          <w:szCs w:val="22"/>
        </w:rPr>
        <w:t>eguretat (SOC) de l’Agència de Ciberseguretat de Catalunya.</w:t>
      </w:r>
    </w:p>
    <w:p w14:paraId="425BCB1D" w14:textId="77777777" w:rsidR="005A36F7" w:rsidRPr="003A6F0D" w:rsidRDefault="005A36F7" w:rsidP="001F133B">
      <w:pPr>
        <w:pStyle w:val="TEXT"/>
        <w:numPr>
          <w:ilvl w:val="0"/>
          <w:numId w:val="16"/>
        </w:numPr>
        <w:spacing w:before="120"/>
        <w:rPr>
          <w:color w:val="000000" w:themeColor="text1"/>
          <w:sz w:val="20"/>
          <w:szCs w:val="22"/>
        </w:rPr>
      </w:pPr>
      <w:r w:rsidRPr="00164546">
        <w:rPr>
          <w:color w:val="000000" w:themeColor="text1"/>
          <w:sz w:val="20"/>
          <w:szCs w:val="22"/>
          <w:u w:val="single"/>
        </w:rPr>
        <w:lastRenderedPageBreak/>
        <w:t>Definició del model de relació</w:t>
      </w:r>
      <w:r w:rsidRPr="003A6F0D">
        <w:rPr>
          <w:color w:val="000000" w:themeColor="text1"/>
          <w:sz w:val="20"/>
          <w:szCs w:val="22"/>
        </w:rPr>
        <w:t xml:space="preserve"> entre la Sindicatura de Comptes i l’Agència de Ciberseguretat.</w:t>
      </w:r>
    </w:p>
    <w:p w14:paraId="3FD4DE3C" w14:textId="61748494" w:rsidR="005D69CD" w:rsidRPr="005D69CD" w:rsidRDefault="005A36F7" w:rsidP="005D69CD">
      <w:pPr>
        <w:pStyle w:val="TEXT"/>
        <w:numPr>
          <w:ilvl w:val="0"/>
          <w:numId w:val="16"/>
        </w:numPr>
        <w:spacing w:before="120" w:after="120"/>
        <w:ind w:left="1423" w:hanging="357"/>
        <w:rPr>
          <w:color w:val="000000" w:themeColor="text1"/>
          <w:sz w:val="20"/>
          <w:szCs w:val="22"/>
        </w:rPr>
      </w:pPr>
      <w:r w:rsidRPr="003A6F0D">
        <w:rPr>
          <w:color w:val="000000" w:themeColor="text1"/>
          <w:sz w:val="20"/>
          <w:szCs w:val="22"/>
        </w:rPr>
        <w:t xml:space="preserve">Desplegament del </w:t>
      </w:r>
      <w:r w:rsidRPr="00164546">
        <w:rPr>
          <w:color w:val="000000" w:themeColor="text1"/>
          <w:sz w:val="20"/>
          <w:szCs w:val="22"/>
          <w:u w:val="single"/>
        </w:rPr>
        <w:t>protocol de resposta davant de ciberincidents</w:t>
      </w:r>
      <w:r w:rsidRPr="003A6F0D">
        <w:rPr>
          <w:color w:val="000000" w:themeColor="text1"/>
          <w:sz w:val="20"/>
          <w:szCs w:val="22"/>
        </w:rPr>
        <w:t>.</w:t>
      </w:r>
    </w:p>
    <w:p w14:paraId="61C777AB" w14:textId="7D66D372" w:rsidR="00B10032" w:rsidRPr="00B10032" w:rsidRDefault="003A6F0D" w:rsidP="005D69CD">
      <w:pPr>
        <w:pStyle w:val="TEXT"/>
        <w:numPr>
          <w:ilvl w:val="0"/>
          <w:numId w:val="18"/>
        </w:numPr>
        <w:spacing w:before="120" w:after="120"/>
        <w:rPr>
          <w:color w:val="000000" w:themeColor="text1"/>
        </w:rPr>
      </w:pPr>
      <w:r>
        <w:t xml:space="preserve">Desplegament del model de ciberseguretat, </w:t>
      </w:r>
      <w:r w:rsidRPr="00656895">
        <w:rPr>
          <w:b/>
          <w:bCs/>
        </w:rPr>
        <w:t xml:space="preserve">fase 4, </w:t>
      </w:r>
      <w:r w:rsidR="00675A0F">
        <w:rPr>
          <w:b/>
          <w:bCs/>
        </w:rPr>
        <w:t>serveis</w:t>
      </w:r>
      <w:r w:rsidRPr="00656895">
        <w:rPr>
          <w:b/>
          <w:bCs/>
        </w:rPr>
        <w:t xml:space="preserve"> recurrents</w:t>
      </w:r>
      <w:r w:rsidR="00675A0F">
        <w:rPr>
          <w:b/>
          <w:bCs/>
        </w:rPr>
        <w:t xml:space="preserve"> i auditoria interna de l’ENS</w:t>
      </w:r>
      <w:r w:rsidRPr="00656895">
        <w:rPr>
          <w:b/>
          <w:bCs/>
        </w:rPr>
        <w:t>.</w:t>
      </w:r>
    </w:p>
    <w:p w14:paraId="294804D9" w14:textId="77777777" w:rsidR="00B10032" w:rsidRDefault="005A36F7" w:rsidP="00B10032">
      <w:pPr>
        <w:pStyle w:val="TEXT"/>
        <w:numPr>
          <w:ilvl w:val="0"/>
          <w:numId w:val="16"/>
        </w:numPr>
        <w:spacing w:before="120" w:after="120"/>
        <w:ind w:left="1423" w:hanging="357"/>
        <w:rPr>
          <w:color w:val="000000" w:themeColor="text1"/>
          <w:sz w:val="20"/>
          <w:szCs w:val="22"/>
        </w:rPr>
      </w:pPr>
      <w:r w:rsidRPr="00B10032">
        <w:rPr>
          <w:color w:val="000000" w:themeColor="text1"/>
          <w:sz w:val="20"/>
          <w:szCs w:val="22"/>
        </w:rPr>
        <w:t>Monitorització 24x7 dels logs i alertes generades pels sistemes de ciberseguretat d</w:t>
      </w:r>
      <w:r w:rsidR="005D69CD" w:rsidRPr="00B10032">
        <w:rPr>
          <w:color w:val="000000" w:themeColor="text1"/>
          <w:sz w:val="20"/>
          <w:szCs w:val="22"/>
        </w:rPr>
        <w:t>e l’entitat</w:t>
      </w:r>
      <w:r w:rsidRPr="00B10032">
        <w:rPr>
          <w:color w:val="000000" w:themeColor="text1"/>
          <w:sz w:val="20"/>
          <w:szCs w:val="22"/>
        </w:rPr>
        <w:t xml:space="preserve"> i integrats durant la fase anterior. </w:t>
      </w:r>
    </w:p>
    <w:p w14:paraId="6E917567" w14:textId="6A4D0F12" w:rsidR="005A36F7" w:rsidRDefault="005A36F7" w:rsidP="00B10032">
      <w:pPr>
        <w:pStyle w:val="TEXT"/>
        <w:numPr>
          <w:ilvl w:val="0"/>
          <w:numId w:val="16"/>
        </w:numPr>
        <w:spacing w:before="120" w:after="120"/>
        <w:ind w:left="1423" w:hanging="357"/>
        <w:rPr>
          <w:color w:val="000000" w:themeColor="text1"/>
          <w:sz w:val="20"/>
          <w:szCs w:val="22"/>
        </w:rPr>
      </w:pPr>
      <w:r w:rsidRPr="00B10032">
        <w:rPr>
          <w:color w:val="000000" w:themeColor="text1"/>
          <w:sz w:val="20"/>
          <w:szCs w:val="22"/>
        </w:rPr>
        <w:t>Resposta 24x7 en cas d’indici d’atac.</w:t>
      </w:r>
    </w:p>
    <w:p w14:paraId="4759DF0D" w14:textId="66EB8133" w:rsidR="00B10032" w:rsidRPr="005850DA" w:rsidRDefault="001776CB" w:rsidP="005850DA">
      <w:pPr>
        <w:pStyle w:val="TEXT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>R</w:t>
      </w:r>
      <w:r w:rsidR="005850DA" w:rsidRPr="005850DA">
        <w:rPr>
          <w:sz w:val="20"/>
          <w:szCs w:val="22"/>
        </w:rPr>
        <w:t>ealització d’una auditoria interna de l’ENS per verificar el compliment dels sistemes i orientació de l’auditoria externa.</w:t>
      </w:r>
    </w:p>
    <w:p w14:paraId="5267AAB2" w14:textId="60EEA30E" w:rsidR="005A36F7" w:rsidRPr="00FB57E5" w:rsidRDefault="006C3236" w:rsidP="00746409">
      <w:pPr>
        <w:pStyle w:val="TEXT"/>
        <w:numPr>
          <w:ilvl w:val="0"/>
          <w:numId w:val="18"/>
        </w:numPr>
        <w:spacing w:before="120" w:after="120"/>
        <w:rPr>
          <w:b/>
          <w:bCs/>
          <w:u w:val="single"/>
        </w:rPr>
      </w:pPr>
      <w:r>
        <w:t>Desplegament del model de ciberseguretat</w:t>
      </w:r>
      <w:r w:rsidR="00746409">
        <w:t>:</w:t>
      </w:r>
      <w:r>
        <w:t xml:space="preserve"> </w:t>
      </w:r>
      <w:r w:rsidRPr="00746409">
        <w:rPr>
          <w:b/>
          <w:bCs/>
        </w:rPr>
        <w:t>fase 5</w:t>
      </w:r>
      <w:r>
        <w:t xml:space="preserve">, </w:t>
      </w:r>
      <w:r w:rsidR="00C24165" w:rsidRPr="00746409">
        <w:rPr>
          <w:b/>
          <w:bCs/>
        </w:rPr>
        <w:t>certificació</w:t>
      </w:r>
      <w:r w:rsidR="006E75CC" w:rsidRPr="00746409">
        <w:rPr>
          <w:b/>
          <w:bCs/>
        </w:rPr>
        <w:t xml:space="preserve"> ENS</w:t>
      </w:r>
      <w:r w:rsidR="00746409">
        <w:t xml:space="preserve">. </w:t>
      </w:r>
      <w:r w:rsidR="005A36F7" w:rsidRPr="00746409">
        <w:t>Realització dels processos d’auditories de conformitat en l’ENS per a l’obtenció de la certificació corresponent, en relació als serveis i sistemes que es determinin.</w:t>
      </w:r>
    </w:p>
    <w:p w14:paraId="5A49481B" w14:textId="61DB4525" w:rsidR="00E537E0" w:rsidRPr="000003C7" w:rsidRDefault="00E537E0" w:rsidP="00FB57E5">
      <w:pPr>
        <w:pStyle w:val="TEXT"/>
        <w:spacing w:before="120" w:after="120"/>
        <w:ind w:left="0"/>
        <w:rPr>
          <w:rFonts w:cs="Arial"/>
          <w:kern w:val="2"/>
          <w:sz w:val="24"/>
          <w14:ligatures w14:val="standardContextual"/>
        </w:rPr>
      </w:pPr>
      <w:r w:rsidRPr="000003C7">
        <w:rPr>
          <w:rFonts w:cs="Arial"/>
          <w:kern w:val="2"/>
          <w:sz w:val="24"/>
          <w14:ligatures w14:val="standardContextual"/>
        </w:rPr>
        <w:t xml:space="preserve">La </w:t>
      </w:r>
      <w:r w:rsidRPr="000003C7">
        <w:rPr>
          <w:rFonts w:cs="Arial"/>
          <w:b/>
          <w:bCs/>
          <w:kern w:val="2"/>
          <w:sz w:val="24"/>
          <w14:ligatures w14:val="standardContextual"/>
        </w:rPr>
        <w:t>planificació estimada</w:t>
      </w:r>
      <w:r w:rsidRPr="000003C7">
        <w:rPr>
          <w:rFonts w:cs="Arial"/>
          <w:kern w:val="2"/>
          <w:sz w:val="24"/>
          <w14:ligatures w14:val="standardContextual"/>
        </w:rPr>
        <w:t xml:space="preserve"> d'aquestes iniciatives està prevista per a poder executar la fase 1, 2 i 3 durant l'any 2025, i la fase 4 i 5 durant l'any 2026. L'auditoria interna de l’ENS (</w:t>
      </w:r>
      <w:r w:rsidR="00CB6A91" w:rsidRPr="000003C7">
        <w:rPr>
          <w:rFonts w:cs="Arial"/>
          <w:kern w:val="2"/>
          <w:sz w:val="24"/>
          <w14:ligatures w14:val="standardContextual"/>
        </w:rPr>
        <w:t>inclosa en fase 4)</w:t>
      </w:r>
      <w:r w:rsidRPr="000003C7">
        <w:rPr>
          <w:rFonts w:cs="Arial"/>
          <w:kern w:val="2"/>
          <w:sz w:val="24"/>
          <w14:ligatures w14:val="standardContextual"/>
        </w:rPr>
        <w:t> podrà planificar-se en qualsevol dels dos períodes</w:t>
      </w:r>
      <w:r w:rsidR="00CB6A91" w:rsidRPr="000003C7">
        <w:rPr>
          <w:rFonts w:cs="Arial"/>
          <w:kern w:val="2"/>
          <w:sz w:val="24"/>
          <w14:ligatures w14:val="standardContextual"/>
        </w:rPr>
        <w:t xml:space="preserve"> (2025 o 2026)</w:t>
      </w:r>
      <w:r w:rsidRPr="000003C7">
        <w:rPr>
          <w:rFonts w:cs="Arial"/>
          <w:kern w:val="2"/>
          <w:sz w:val="24"/>
          <w14:ligatures w14:val="standardContextual"/>
        </w:rPr>
        <w:t>, sempre que l'organització tingui disponibilitat i tingui preparada la documentació necessària per al procés d'auditoria.</w:t>
      </w:r>
    </w:p>
    <w:p w14:paraId="2D4DFDF3" w14:textId="2EB57750" w:rsidR="00606C24" w:rsidRDefault="00140CD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Dites actuacions, i els seus costos associats, son acceptades per la Sindicatura, qui posarà a disposició de l’Agència </w:t>
      </w:r>
      <w:r w:rsidR="00CE416C">
        <w:rPr>
          <w:rFonts w:ascii="Arial" w:hAnsi="Arial" w:cs="Arial"/>
        </w:rPr>
        <w:t xml:space="preserve">de Ciberseguretat </w:t>
      </w:r>
      <w:r>
        <w:rPr>
          <w:rFonts w:ascii="Arial" w:hAnsi="Arial" w:cs="Arial"/>
        </w:rPr>
        <w:t>els mitjans tècnics i personals necessaris pel seu correcte desplegament.</w:t>
      </w:r>
    </w:p>
    <w:p w14:paraId="3126C893" w14:textId="77777777" w:rsidR="00606C24" w:rsidRPr="00072E01" w:rsidRDefault="00606C24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0934A8A2" w14:textId="19F86F1B" w:rsidR="0097325B" w:rsidRPr="00072E01" w:rsidRDefault="00D02F87" w:rsidP="0097325B">
      <w:pPr>
        <w:spacing w:after="0" w:line="276" w:lineRule="auto"/>
        <w:ind w:left="1418" w:hanging="141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SEGON</w:t>
      </w:r>
      <w:r w:rsidR="0097325B" w:rsidRPr="00072E01">
        <w:rPr>
          <w:rFonts w:ascii="Arial" w:hAnsi="Arial" w:cs="Arial"/>
          <w:b/>
          <w:bCs/>
        </w:rPr>
        <w:t>.-</w:t>
      </w:r>
      <w:r w:rsidR="0097325B" w:rsidRPr="00072E01">
        <w:rPr>
          <w:rFonts w:ascii="Arial" w:hAnsi="Arial" w:cs="Arial"/>
          <w:b/>
          <w:bCs/>
        </w:rPr>
        <w:tab/>
        <w:t>COMPROM</w:t>
      </w:r>
      <w:r w:rsidR="00682FED">
        <w:rPr>
          <w:rFonts w:ascii="Arial" w:hAnsi="Arial" w:cs="Arial"/>
          <w:b/>
          <w:bCs/>
        </w:rPr>
        <w:t>Í</w:t>
      </w:r>
      <w:r w:rsidR="0097325B" w:rsidRPr="00072E01">
        <w:rPr>
          <w:rFonts w:ascii="Arial" w:hAnsi="Arial" w:cs="Arial"/>
          <w:b/>
          <w:bCs/>
        </w:rPr>
        <w:t>S ECONÒMIC</w:t>
      </w:r>
    </w:p>
    <w:p w14:paraId="44360686" w14:textId="77777777" w:rsidR="0097325B" w:rsidRPr="00072E01" w:rsidRDefault="0097325B" w:rsidP="0097325B">
      <w:pPr>
        <w:spacing w:after="0" w:line="276" w:lineRule="auto"/>
        <w:ind w:left="1418" w:hanging="1418"/>
        <w:contextualSpacing/>
        <w:jc w:val="both"/>
        <w:rPr>
          <w:rFonts w:ascii="Arial" w:hAnsi="Arial" w:cs="Arial"/>
          <w:b/>
          <w:bCs/>
        </w:rPr>
      </w:pPr>
    </w:p>
    <w:p w14:paraId="67A51AF1" w14:textId="4842E5AD" w:rsidR="0097325B" w:rsidRDefault="000513CA" w:rsidP="000513CA">
      <w:pPr>
        <w:pStyle w:val="Pargrafdel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0513CA">
        <w:rPr>
          <w:rFonts w:ascii="Arial" w:hAnsi="Arial" w:cs="Arial"/>
        </w:rPr>
        <w:t xml:space="preserve">L’import total de les </w:t>
      </w:r>
      <w:r>
        <w:rPr>
          <w:rFonts w:ascii="Arial" w:hAnsi="Arial" w:cs="Arial"/>
        </w:rPr>
        <w:t xml:space="preserve">actuacions addicionals és de </w:t>
      </w:r>
      <w:r w:rsidR="008178CA">
        <w:rPr>
          <w:rFonts w:ascii="Arial" w:hAnsi="Arial" w:cs="Arial"/>
        </w:rPr>
        <w:t>6</w:t>
      </w:r>
      <w:r w:rsidR="00EC591C">
        <w:rPr>
          <w:rFonts w:ascii="Arial" w:hAnsi="Arial" w:cs="Arial"/>
        </w:rPr>
        <w:t>7</w:t>
      </w:r>
      <w:r w:rsidR="005C1E26">
        <w:rPr>
          <w:rFonts w:ascii="Arial" w:hAnsi="Arial" w:cs="Arial"/>
        </w:rPr>
        <w:t>.6</w:t>
      </w:r>
      <w:r w:rsidR="00EC591C">
        <w:rPr>
          <w:rFonts w:ascii="Arial" w:hAnsi="Arial" w:cs="Arial"/>
        </w:rPr>
        <w:t>92,13</w:t>
      </w:r>
      <w:r w:rsidR="005C1E26">
        <w:rPr>
          <w:rFonts w:ascii="Arial" w:hAnsi="Arial" w:cs="Arial"/>
        </w:rPr>
        <w:t>€</w:t>
      </w:r>
      <w:r w:rsidR="008B3DBD">
        <w:rPr>
          <w:rFonts w:ascii="Arial" w:hAnsi="Arial" w:cs="Arial"/>
        </w:rPr>
        <w:t>. A continuació s’exposa el detall i justificació dels imports de cada actuació:</w:t>
      </w:r>
    </w:p>
    <w:p w14:paraId="233A0964" w14:textId="77777777" w:rsidR="004C19FF" w:rsidRDefault="004C19FF" w:rsidP="004C19FF">
      <w:pPr>
        <w:pStyle w:val="Pargrafdellista"/>
        <w:spacing w:after="0" w:line="276" w:lineRule="auto"/>
        <w:jc w:val="both"/>
        <w:rPr>
          <w:rFonts w:ascii="Arial" w:hAnsi="Arial" w:cs="Arial"/>
        </w:rPr>
      </w:pPr>
    </w:p>
    <w:tbl>
      <w:tblPr>
        <w:tblStyle w:val="Tauladequadrcula4"/>
        <w:tblW w:w="7797" w:type="dxa"/>
        <w:tblInd w:w="704" w:type="dxa"/>
        <w:tblLook w:val="04A0" w:firstRow="1" w:lastRow="0" w:firstColumn="1" w:lastColumn="0" w:noHBand="0" w:noVBand="1"/>
      </w:tblPr>
      <w:tblGrid>
        <w:gridCol w:w="3119"/>
        <w:gridCol w:w="2835"/>
        <w:gridCol w:w="1843"/>
      </w:tblGrid>
      <w:tr w:rsidR="009A68C3" w14:paraId="6CC9BE9B" w14:textId="4B9420AA" w:rsidTr="00E47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3F2E1CB" w14:textId="7E9BA8C8" w:rsidR="009A68C3" w:rsidRPr="00736FF8" w:rsidRDefault="004C19FF" w:rsidP="00CE416C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6FF8">
              <w:rPr>
                <w:rFonts w:ascii="Arial" w:hAnsi="Arial" w:cs="Arial"/>
                <w:sz w:val="16"/>
                <w:szCs w:val="16"/>
              </w:rPr>
              <w:t>Iniciativa / servei</w:t>
            </w:r>
          </w:p>
        </w:tc>
        <w:tc>
          <w:tcPr>
            <w:tcW w:w="2835" w:type="dxa"/>
          </w:tcPr>
          <w:p w14:paraId="57CCF46C" w14:textId="27475BAD" w:rsidR="009A68C3" w:rsidRPr="00736FF8" w:rsidRDefault="00102691" w:rsidP="00CE416C">
            <w:pPr>
              <w:pStyle w:val="Pargrafdellista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Perfil / </w:t>
            </w:r>
            <w:r w:rsidR="004C19FF" w:rsidRPr="00736FF8">
              <w:rPr>
                <w:rFonts w:ascii="Arial" w:hAnsi="Arial" w:cs="Arial"/>
                <w:sz w:val="16"/>
                <w:szCs w:val="16"/>
              </w:rPr>
              <w:t>Esforços</w:t>
            </w:r>
            <w:r w:rsidR="006B6107">
              <w:rPr>
                <w:rFonts w:ascii="Arial" w:hAnsi="Arial" w:cs="Arial"/>
                <w:sz w:val="16"/>
                <w:szCs w:val="16"/>
              </w:rPr>
              <w:t>*</w:t>
            </w:r>
            <w:r w:rsidR="004C19FF" w:rsidRPr="00736FF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C3120A">
              <w:rPr>
                <w:rFonts w:ascii="Arial" w:hAnsi="Arial" w:cs="Arial"/>
                <w:sz w:val="16"/>
                <w:szCs w:val="16"/>
              </w:rPr>
              <w:t>R</w:t>
            </w:r>
            <w:r w:rsidR="004C19FF" w:rsidRPr="00736FF8">
              <w:rPr>
                <w:rFonts w:ascii="Arial" w:hAnsi="Arial" w:cs="Arial"/>
                <w:sz w:val="16"/>
                <w:szCs w:val="16"/>
              </w:rPr>
              <w:t>atio</w:t>
            </w:r>
            <w:r w:rsidR="006B6107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843" w:type="dxa"/>
          </w:tcPr>
          <w:p w14:paraId="0CB60762" w14:textId="334893BC" w:rsidR="009A68C3" w:rsidRPr="00736FF8" w:rsidRDefault="004C19FF" w:rsidP="00CE416C">
            <w:pPr>
              <w:pStyle w:val="Pargrafdellista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36FF8">
              <w:rPr>
                <w:rFonts w:ascii="Arial" w:hAnsi="Arial" w:cs="Arial"/>
                <w:sz w:val="16"/>
                <w:szCs w:val="16"/>
              </w:rPr>
              <w:t>Import total</w:t>
            </w:r>
          </w:p>
        </w:tc>
      </w:tr>
      <w:tr w:rsidR="00E64C26" w14:paraId="13BEC46C" w14:textId="15D83B1F" w:rsidTr="00E64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shd w:val="clear" w:color="auto" w:fill="auto"/>
          </w:tcPr>
          <w:p w14:paraId="12A22551" w14:textId="29B99132" w:rsidR="00E64C26" w:rsidRPr="00675A0F" w:rsidRDefault="00E64C26" w:rsidP="004C19FF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Fase1 (Diagnòstic)</w:t>
            </w:r>
          </w:p>
        </w:tc>
        <w:tc>
          <w:tcPr>
            <w:tcW w:w="2835" w:type="dxa"/>
            <w:shd w:val="clear" w:color="auto" w:fill="auto"/>
          </w:tcPr>
          <w:p w14:paraId="717E4234" w14:textId="62A9B414" w:rsidR="00E64C26" w:rsidRPr="00675A0F" w:rsidRDefault="00E64C26" w:rsidP="004C19FF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Pentester / 160hs. / </w:t>
            </w:r>
            <w:r w:rsidR="00CC4CF7">
              <w:rPr>
                <w:rFonts w:ascii="Arial" w:hAnsi="Arial" w:cs="Arial"/>
                <w:i/>
                <w:iCs/>
                <w:sz w:val="16"/>
                <w:szCs w:val="16"/>
              </w:rPr>
              <w:t>62,92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14:paraId="2360D706" w14:textId="46D887A2" w:rsidR="00E64C26" w:rsidRPr="00675A0F" w:rsidRDefault="00E64C26" w:rsidP="004C19FF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0.067,20€</w:t>
            </w:r>
          </w:p>
        </w:tc>
      </w:tr>
      <w:tr w:rsidR="00E64C26" w14:paraId="47B0D275" w14:textId="77777777" w:rsidTr="00E47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39733F13" w14:textId="77777777" w:rsidR="00E64C26" w:rsidRPr="00675A0F" w:rsidRDefault="00E64C26" w:rsidP="004C19FF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478F4D" w14:textId="655DBF20" w:rsidR="00E64C26" w:rsidRDefault="00E64C26" w:rsidP="004C19FF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Consultor / 160hs / </w:t>
            </w:r>
            <w:r w:rsidR="00720CDE">
              <w:rPr>
                <w:rFonts w:ascii="Arial" w:hAnsi="Arial" w:cs="Arial"/>
                <w:i/>
                <w:iCs/>
                <w:sz w:val="16"/>
                <w:szCs w:val="16"/>
              </w:rPr>
              <w:t>71,92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  <w:tc>
          <w:tcPr>
            <w:tcW w:w="1843" w:type="dxa"/>
          </w:tcPr>
          <w:p w14:paraId="755136D0" w14:textId="60592D9E" w:rsidR="00E64C26" w:rsidRDefault="00E64C26" w:rsidP="004C19FF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11.507,</w:t>
            </w:r>
            <w:r w:rsidR="00A81CC8">
              <w:rPr>
                <w:rFonts w:ascii="Arial" w:hAnsi="Arial" w:cs="Arial"/>
                <w:i/>
                <w:iCs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</w:tr>
      <w:tr w:rsidR="00B80321" w14:paraId="1B6BC433" w14:textId="77777777" w:rsidTr="00E4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</w:tcPr>
          <w:p w14:paraId="17F67D7A" w14:textId="4450148D" w:rsidR="00B80321" w:rsidRDefault="00B80321" w:rsidP="00B80321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1E9D">
              <w:rPr>
                <w:rFonts w:ascii="Arial" w:hAnsi="Arial" w:cs="Arial"/>
                <w:i/>
                <w:iCs/>
                <w:sz w:val="16"/>
                <w:szCs w:val="16"/>
              </w:rPr>
              <w:t>SUBTOTAL</w:t>
            </w:r>
          </w:p>
        </w:tc>
        <w:tc>
          <w:tcPr>
            <w:tcW w:w="1843" w:type="dxa"/>
          </w:tcPr>
          <w:p w14:paraId="66385D9A" w14:textId="07F833D3" w:rsidR="00B80321" w:rsidRPr="00FB1E9D" w:rsidRDefault="00B80321" w:rsidP="004C19FF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1E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21.574,</w:t>
            </w:r>
            <w:r w:rsidR="001173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</w:t>
            </w:r>
            <w:r w:rsidRPr="00FB1E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€</w:t>
            </w:r>
          </w:p>
        </w:tc>
      </w:tr>
      <w:tr w:rsidR="00814EE4" w14:paraId="797EBBFF" w14:textId="77777777" w:rsidTr="00E47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598521D" w14:textId="1A0EB463" w:rsidR="00814EE4" w:rsidRPr="00675A0F" w:rsidRDefault="00814EE4" w:rsidP="00814EE4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Fase 2 (Pla de Seguretat)</w:t>
            </w:r>
          </w:p>
        </w:tc>
        <w:tc>
          <w:tcPr>
            <w:tcW w:w="2835" w:type="dxa"/>
          </w:tcPr>
          <w:p w14:paraId="3F92C2FB" w14:textId="3DA67BAF" w:rsidR="00814EE4" w:rsidRPr="00675A0F" w:rsidRDefault="00B80321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Consultor</w:t>
            </w:r>
            <w:r w:rsidR="00814E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814E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0hs. / </w:t>
            </w:r>
            <w:r w:rsidR="00720CDE">
              <w:rPr>
                <w:rFonts w:ascii="Arial" w:hAnsi="Arial" w:cs="Arial"/>
                <w:i/>
                <w:iCs/>
                <w:sz w:val="16"/>
                <w:szCs w:val="16"/>
              </w:rPr>
              <w:t>71,92</w:t>
            </w:r>
            <w:r w:rsidR="00814EE4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  <w:tc>
          <w:tcPr>
            <w:tcW w:w="1843" w:type="dxa"/>
          </w:tcPr>
          <w:p w14:paraId="7C4EE39B" w14:textId="4CF481DE" w:rsidR="00814EE4" w:rsidRPr="00675A0F" w:rsidRDefault="00D36871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80321">
              <w:rPr>
                <w:rFonts w:ascii="Arial" w:hAnsi="Arial" w:cs="Arial"/>
                <w:i/>
                <w:iCs/>
                <w:sz w:val="16"/>
                <w:szCs w:val="16"/>
              </w:rPr>
              <w:t>8.630,</w:t>
            </w:r>
            <w:r w:rsidR="006F6783">
              <w:rPr>
                <w:rFonts w:ascii="Arial" w:hAnsi="Arial" w:cs="Arial"/>
                <w:i/>
                <w:iCs/>
                <w:sz w:val="16"/>
                <w:szCs w:val="16"/>
              </w:rPr>
              <w:t>40</w:t>
            </w:r>
            <w:r w:rsidR="00B80321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</w:tr>
      <w:tr w:rsidR="00B80321" w14:paraId="33FB67A3" w14:textId="77777777" w:rsidTr="00E4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</w:tcPr>
          <w:p w14:paraId="4E740A32" w14:textId="1F8256E6" w:rsidR="00B80321" w:rsidRPr="00B80321" w:rsidRDefault="00B80321" w:rsidP="00B80321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80321">
              <w:rPr>
                <w:rFonts w:ascii="Arial" w:hAnsi="Arial" w:cs="Arial"/>
                <w:i/>
                <w:iCs/>
                <w:sz w:val="16"/>
                <w:szCs w:val="16"/>
              </w:rPr>
              <w:t>SUBTOTAL</w:t>
            </w:r>
          </w:p>
        </w:tc>
        <w:tc>
          <w:tcPr>
            <w:tcW w:w="1843" w:type="dxa"/>
          </w:tcPr>
          <w:p w14:paraId="54B80DEF" w14:textId="69B0E823" w:rsidR="00B80321" w:rsidRPr="00B80321" w:rsidRDefault="00D36871" w:rsidP="00814EE4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80321" w:rsidRPr="00B803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8.630,</w:t>
            </w:r>
            <w:r w:rsidR="001173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</w:t>
            </w:r>
            <w:r w:rsidR="00B80321" w:rsidRPr="00B803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€</w:t>
            </w:r>
          </w:p>
        </w:tc>
      </w:tr>
      <w:tr w:rsidR="00814EE4" w14:paraId="5B99A731" w14:textId="77777777" w:rsidTr="00E47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DECC451" w14:textId="0FCC2C2B" w:rsidR="00814EE4" w:rsidRPr="00675A0F" w:rsidRDefault="00814EE4" w:rsidP="00814EE4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Fase 3 (Integració)</w:t>
            </w:r>
          </w:p>
        </w:tc>
        <w:tc>
          <w:tcPr>
            <w:tcW w:w="2835" w:type="dxa"/>
          </w:tcPr>
          <w:p w14:paraId="4F341B63" w14:textId="796C58A3" w:rsidR="00814EE4" w:rsidRPr="00675A0F" w:rsidRDefault="00266F90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66F90">
              <w:rPr>
                <w:rFonts w:ascii="Arial" w:hAnsi="Arial" w:cs="Arial"/>
                <w:i/>
                <w:iCs/>
                <w:sz w:val="16"/>
                <w:szCs w:val="16"/>
              </w:rPr>
              <w:t>Enginyer de seguretat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80hs / </w:t>
            </w:r>
            <w:r w:rsidR="00720CDE">
              <w:rPr>
                <w:rFonts w:ascii="Arial" w:hAnsi="Arial" w:cs="Arial"/>
                <w:i/>
                <w:iCs/>
                <w:sz w:val="16"/>
                <w:szCs w:val="16"/>
              </w:rPr>
              <w:t>71,99</w:t>
            </w:r>
            <w:r w:rsidR="00E473E0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  <w:tc>
          <w:tcPr>
            <w:tcW w:w="1843" w:type="dxa"/>
          </w:tcPr>
          <w:p w14:paraId="1D0B7524" w14:textId="005CE9AA" w:rsidR="00814EE4" w:rsidRPr="00675A0F" w:rsidRDefault="00D36871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66F90">
              <w:rPr>
                <w:rFonts w:ascii="Arial" w:hAnsi="Arial" w:cs="Arial"/>
                <w:i/>
                <w:iCs/>
                <w:sz w:val="16"/>
                <w:szCs w:val="16"/>
              </w:rPr>
              <w:t>5.7</w:t>
            </w:r>
            <w:r w:rsidR="00E473E0">
              <w:rPr>
                <w:rFonts w:ascii="Arial" w:hAnsi="Arial" w:cs="Arial"/>
                <w:i/>
                <w:iCs/>
                <w:sz w:val="16"/>
                <w:szCs w:val="16"/>
              </w:rPr>
              <w:t>59,</w:t>
            </w:r>
            <w:r w:rsidR="006F6783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E473E0">
              <w:rPr>
                <w:rFonts w:ascii="Arial" w:hAnsi="Arial" w:cs="Arial"/>
                <w:i/>
                <w:iCs/>
                <w:sz w:val="16"/>
                <w:szCs w:val="16"/>
              </w:rPr>
              <w:t>0€</w:t>
            </w:r>
          </w:p>
        </w:tc>
      </w:tr>
      <w:tr w:rsidR="001063C5" w14:paraId="02751941" w14:textId="77777777" w:rsidTr="00974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</w:tcPr>
          <w:p w14:paraId="657B91CB" w14:textId="183C9949" w:rsidR="001063C5" w:rsidRPr="001063C5" w:rsidRDefault="001063C5" w:rsidP="001063C5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63C5">
              <w:rPr>
                <w:rFonts w:ascii="Arial" w:hAnsi="Arial" w:cs="Arial"/>
                <w:i/>
                <w:iCs/>
                <w:sz w:val="16"/>
                <w:szCs w:val="16"/>
              </w:rPr>
              <w:t>SUBOTOTAL</w:t>
            </w:r>
          </w:p>
        </w:tc>
        <w:tc>
          <w:tcPr>
            <w:tcW w:w="1843" w:type="dxa"/>
          </w:tcPr>
          <w:p w14:paraId="509515E0" w14:textId="52641760" w:rsidR="001063C5" w:rsidRPr="001063C5" w:rsidRDefault="00D36871" w:rsidP="00814EE4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063C5" w:rsidRPr="001063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5.759,</w:t>
            </w:r>
            <w:r w:rsidR="001173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1063C5" w:rsidRPr="001063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0€</w:t>
            </w:r>
          </w:p>
        </w:tc>
      </w:tr>
      <w:tr w:rsidR="00814EE4" w14:paraId="559A442F" w14:textId="77777777" w:rsidTr="00E47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921C8C2" w14:textId="32127D1E" w:rsidR="00814EE4" w:rsidRPr="00675A0F" w:rsidRDefault="00814EE4" w:rsidP="00814EE4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Fase 4 (Serveis recurrents i Auditoria interna de l’ENS)</w:t>
            </w:r>
          </w:p>
        </w:tc>
        <w:tc>
          <w:tcPr>
            <w:tcW w:w="2835" w:type="dxa"/>
          </w:tcPr>
          <w:p w14:paraId="7CE97682" w14:textId="5A787C59" w:rsidR="00E64C26" w:rsidRDefault="007544C3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Expert en seguretat /</w:t>
            </w:r>
            <w:r w:rsidR="005A588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2680C">
              <w:rPr>
                <w:rFonts w:ascii="Arial" w:hAnsi="Arial" w:cs="Arial"/>
                <w:i/>
                <w:iCs/>
                <w:sz w:val="16"/>
                <w:szCs w:val="16"/>
              </w:rPr>
              <w:t>269hs</w:t>
            </w:r>
            <w:r w:rsidR="005A588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="000B6810">
              <w:rPr>
                <w:rFonts w:ascii="Arial" w:hAnsi="Arial" w:cs="Arial"/>
                <w:i/>
                <w:iCs/>
                <w:sz w:val="16"/>
                <w:szCs w:val="16"/>
              </w:rPr>
              <w:t>69,09</w:t>
            </w:r>
            <w:r w:rsidR="005A5884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  <w:p w14:paraId="508176AE" w14:textId="7C5F370C" w:rsidR="00C3120A" w:rsidRDefault="00C3120A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Auditor / </w:t>
            </w:r>
            <w:r w:rsidR="00A33F66">
              <w:rPr>
                <w:rFonts w:ascii="Arial" w:hAnsi="Arial" w:cs="Arial"/>
                <w:i/>
                <w:iCs/>
                <w:sz w:val="16"/>
                <w:szCs w:val="16"/>
              </w:rPr>
              <w:t>60</w:t>
            </w:r>
            <w:r w:rsidR="003D01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hs</w:t>
            </w:r>
            <w:r w:rsidR="00EF2A4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3D01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="006468D7">
              <w:rPr>
                <w:rFonts w:ascii="Arial" w:hAnsi="Arial" w:cs="Arial"/>
                <w:i/>
                <w:iCs/>
                <w:sz w:val="16"/>
                <w:szCs w:val="16"/>
              </w:rPr>
              <w:t>66,6</w:t>
            </w:r>
            <w:r w:rsidR="00AA6028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="00EF2A4E" w:rsidRPr="006468D7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  <w:p w14:paraId="101F8CFA" w14:textId="1D4FE1E7" w:rsidR="00AD48DA" w:rsidRPr="00675A0F" w:rsidRDefault="00AD48DA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Cost eines i evolució</w:t>
            </w:r>
          </w:p>
        </w:tc>
        <w:tc>
          <w:tcPr>
            <w:tcW w:w="1843" w:type="dxa"/>
          </w:tcPr>
          <w:p w14:paraId="61D2D490" w14:textId="4B4FD664" w:rsidR="00814EE4" w:rsidRDefault="001063C5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18.5</w:t>
            </w:r>
            <w:r w:rsidR="00A63AD9">
              <w:rPr>
                <w:rFonts w:ascii="Arial" w:hAnsi="Arial" w:cs="Arial"/>
                <w:i/>
                <w:iCs/>
                <w:sz w:val="16"/>
                <w:szCs w:val="16"/>
              </w:rPr>
              <w:t>85,21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  <w:p w14:paraId="21DECF34" w14:textId="5747BF99" w:rsidR="003D01B2" w:rsidRDefault="004867CB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677275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="00AA6028">
              <w:rPr>
                <w:rFonts w:ascii="Arial" w:hAnsi="Arial" w:cs="Arial"/>
                <w:i/>
                <w:iCs/>
                <w:sz w:val="16"/>
                <w:szCs w:val="16"/>
              </w:rPr>
              <w:t>.999,6</w:t>
            </w:r>
            <w:r w:rsidR="00A8765E"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  <w:r w:rsidR="0023468B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  <w:p w14:paraId="257005C6" w14:textId="7AF8D5AB" w:rsidR="00AD48DA" w:rsidRPr="00675A0F" w:rsidRDefault="00D36871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5.143,72€</w:t>
            </w:r>
          </w:p>
        </w:tc>
      </w:tr>
      <w:tr w:rsidR="00D36871" w14:paraId="7FCFABA5" w14:textId="77777777" w:rsidTr="008B5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</w:tcPr>
          <w:p w14:paraId="0DE49204" w14:textId="5297F4CB" w:rsidR="00D36871" w:rsidRPr="00D36871" w:rsidRDefault="00D36871" w:rsidP="00D36871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6871">
              <w:rPr>
                <w:rFonts w:ascii="Arial" w:hAnsi="Arial" w:cs="Arial"/>
                <w:i/>
                <w:iCs/>
                <w:sz w:val="16"/>
                <w:szCs w:val="16"/>
              </w:rPr>
              <w:t>SUBTOTAL</w:t>
            </w:r>
          </w:p>
        </w:tc>
        <w:tc>
          <w:tcPr>
            <w:tcW w:w="1843" w:type="dxa"/>
          </w:tcPr>
          <w:p w14:paraId="14C25F53" w14:textId="01F6F2E2" w:rsidR="00D36871" w:rsidRPr="00FB14D4" w:rsidRDefault="00FB14D4" w:rsidP="00814EE4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14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1049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FB14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="001049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E92A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  <w:r w:rsidR="001049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E92A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</w:t>
            </w:r>
            <w:r w:rsidRPr="00FB14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€</w:t>
            </w:r>
          </w:p>
        </w:tc>
      </w:tr>
      <w:tr w:rsidR="00814EE4" w14:paraId="331A8B05" w14:textId="77777777" w:rsidTr="00E47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8F95672" w14:textId="6EE152E5" w:rsidR="00814EE4" w:rsidRPr="00675A0F" w:rsidRDefault="00814EE4" w:rsidP="00814EE4">
            <w:pPr>
              <w:pStyle w:val="Pargrafdellista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75A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Fase 5 (Certificació)</w:t>
            </w:r>
          </w:p>
        </w:tc>
        <w:tc>
          <w:tcPr>
            <w:tcW w:w="2835" w:type="dxa"/>
          </w:tcPr>
          <w:p w14:paraId="30761115" w14:textId="33AEB97F" w:rsidR="00814EE4" w:rsidRPr="00675A0F" w:rsidRDefault="004867CB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Auditor / </w:t>
            </w:r>
            <w:r w:rsidR="00A33F66">
              <w:rPr>
                <w:rFonts w:ascii="Arial" w:hAnsi="Arial" w:cs="Arial"/>
                <w:i/>
                <w:iCs/>
                <w:sz w:val="16"/>
                <w:szCs w:val="16"/>
              </w:rPr>
              <w:t>60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hs. / </w:t>
            </w:r>
            <w:r w:rsidR="006468D7">
              <w:rPr>
                <w:rFonts w:ascii="Arial" w:hAnsi="Arial" w:cs="Arial"/>
                <w:i/>
                <w:iCs/>
                <w:sz w:val="16"/>
                <w:szCs w:val="16"/>
              </w:rPr>
              <w:t>66,66€</w:t>
            </w:r>
          </w:p>
        </w:tc>
        <w:tc>
          <w:tcPr>
            <w:tcW w:w="1843" w:type="dxa"/>
          </w:tcPr>
          <w:p w14:paraId="3C7A18EA" w14:textId="476620B7" w:rsidR="00814EE4" w:rsidRPr="00675A0F" w:rsidRDefault="00A8765E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3.999,60</w:t>
            </w:r>
            <w:r w:rsidR="0023468B">
              <w:rPr>
                <w:rFonts w:ascii="Arial" w:hAnsi="Arial" w:cs="Arial"/>
                <w:i/>
                <w:iCs/>
                <w:sz w:val="16"/>
                <w:szCs w:val="16"/>
              </w:rPr>
              <w:t>€</w:t>
            </w:r>
          </w:p>
        </w:tc>
      </w:tr>
      <w:tr w:rsidR="00FB14D4" w14:paraId="149CE115" w14:textId="77777777" w:rsidTr="0080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</w:tcPr>
          <w:p w14:paraId="7EED0AB7" w14:textId="125D67AA" w:rsidR="00FB14D4" w:rsidRPr="00FB14D4" w:rsidRDefault="00FB14D4" w:rsidP="00FB14D4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14D4">
              <w:rPr>
                <w:rFonts w:ascii="Arial" w:hAnsi="Arial" w:cs="Arial"/>
                <w:i/>
                <w:iCs/>
                <w:sz w:val="16"/>
                <w:szCs w:val="16"/>
              </w:rPr>
              <w:t>SUBTOTAL</w:t>
            </w:r>
          </w:p>
        </w:tc>
        <w:tc>
          <w:tcPr>
            <w:tcW w:w="1843" w:type="dxa"/>
          </w:tcPr>
          <w:p w14:paraId="66C0FC53" w14:textId="5EC52543" w:rsidR="00FB14D4" w:rsidRPr="0013084A" w:rsidRDefault="0023468B" w:rsidP="00814EE4">
            <w:pPr>
              <w:pStyle w:val="Pargrafdellista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308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3.99</w:t>
            </w:r>
            <w:r w:rsidR="00A876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1308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A876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</w:t>
            </w:r>
            <w:r w:rsidRPr="001308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€</w:t>
            </w:r>
          </w:p>
        </w:tc>
      </w:tr>
      <w:tr w:rsidR="00C3120A" w14:paraId="357CE657" w14:textId="77777777" w:rsidTr="00234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shd w:val="clear" w:color="auto" w:fill="000000" w:themeFill="text1"/>
          </w:tcPr>
          <w:p w14:paraId="70A232AC" w14:textId="7C9C0E1F" w:rsidR="00C3120A" w:rsidRPr="00FB14D4" w:rsidRDefault="0023468B" w:rsidP="00FB14D4">
            <w:pPr>
              <w:pStyle w:val="Pargrafdellista"/>
              <w:spacing w:line="276" w:lineRule="auto"/>
              <w:ind w:left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1843" w:type="dxa"/>
            <w:shd w:val="clear" w:color="auto" w:fill="000000" w:themeFill="text1"/>
          </w:tcPr>
          <w:p w14:paraId="197EEDFE" w14:textId="29E7726A" w:rsidR="00C3120A" w:rsidRPr="005E7A80" w:rsidRDefault="0013084A" w:rsidP="00814EE4">
            <w:pPr>
              <w:pStyle w:val="Pargrafdellista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E7A8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67.6</w:t>
            </w:r>
            <w:r w:rsidR="00495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</w:t>
            </w:r>
            <w:r w:rsidRPr="005E7A8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495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  <w:r w:rsidR="005E7A80" w:rsidRPr="005E7A8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€</w:t>
            </w:r>
          </w:p>
        </w:tc>
      </w:tr>
    </w:tbl>
    <w:p w14:paraId="0EBF3A14" w14:textId="77777777" w:rsidR="00CE416C" w:rsidRDefault="00CE416C" w:rsidP="00CE416C">
      <w:pPr>
        <w:pStyle w:val="Pargrafdellista"/>
        <w:spacing w:after="0" w:line="276" w:lineRule="auto"/>
        <w:jc w:val="both"/>
        <w:rPr>
          <w:rFonts w:ascii="Arial" w:hAnsi="Arial" w:cs="Arial"/>
        </w:rPr>
      </w:pPr>
    </w:p>
    <w:p w14:paraId="07273AA8" w14:textId="03FF15E3" w:rsidR="006B6107" w:rsidRDefault="006B6107" w:rsidP="006B6107">
      <w:pPr>
        <w:pStyle w:val="Pargrafdellista"/>
        <w:spacing w:after="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6"/>
          <w:szCs w:val="16"/>
        </w:rPr>
        <w:t xml:space="preserve">* </w:t>
      </w:r>
      <w:r w:rsidR="00595DD1" w:rsidRPr="00595DD1">
        <w:rPr>
          <w:rFonts w:ascii="Arial" w:hAnsi="Arial" w:cs="Arial"/>
          <w:i/>
          <w:iCs/>
          <w:sz w:val="14"/>
          <w:szCs w:val="14"/>
        </w:rPr>
        <w:t>Els esforços estimats estan basats en la informació preliminar subministrada per l'entitat</w:t>
      </w:r>
      <w:r w:rsidR="003A3DDF">
        <w:rPr>
          <w:rFonts w:ascii="Arial" w:hAnsi="Arial" w:cs="Arial"/>
          <w:i/>
          <w:iCs/>
          <w:sz w:val="14"/>
          <w:szCs w:val="14"/>
        </w:rPr>
        <w:t xml:space="preserve"> (</w:t>
      </w:r>
      <w:r w:rsidR="0031648B">
        <w:rPr>
          <w:rFonts w:ascii="Arial" w:hAnsi="Arial" w:cs="Arial"/>
          <w:i/>
          <w:iCs/>
          <w:sz w:val="14"/>
          <w:szCs w:val="14"/>
        </w:rPr>
        <w:t xml:space="preserve">recollida en el </w:t>
      </w:r>
      <w:r w:rsidR="003A3DDF">
        <w:rPr>
          <w:rFonts w:ascii="Arial" w:hAnsi="Arial" w:cs="Arial"/>
          <w:i/>
          <w:iCs/>
          <w:sz w:val="14"/>
          <w:szCs w:val="14"/>
        </w:rPr>
        <w:t>“</w:t>
      </w:r>
      <w:r w:rsidR="0031648B">
        <w:rPr>
          <w:rFonts w:ascii="Arial" w:hAnsi="Arial" w:cs="Arial"/>
          <w:i/>
          <w:iCs/>
          <w:sz w:val="14"/>
          <w:szCs w:val="14"/>
        </w:rPr>
        <w:t>q</w:t>
      </w:r>
      <w:r w:rsidR="003A3DDF" w:rsidRPr="003A3DDF">
        <w:rPr>
          <w:rFonts w:ascii="Arial" w:hAnsi="Arial" w:cs="Arial"/>
          <w:i/>
          <w:iCs/>
          <w:sz w:val="14"/>
          <w:szCs w:val="14"/>
        </w:rPr>
        <w:t>üestionari actuacions</w:t>
      </w:r>
      <w:r w:rsidR="0031648B">
        <w:rPr>
          <w:rFonts w:ascii="Arial" w:hAnsi="Arial" w:cs="Arial"/>
          <w:i/>
          <w:iCs/>
          <w:sz w:val="14"/>
          <w:szCs w:val="14"/>
        </w:rPr>
        <w:t>”</w:t>
      </w:r>
      <w:r w:rsidR="003A3DDF">
        <w:rPr>
          <w:rFonts w:ascii="Arial" w:hAnsi="Arial" w:cs="Arial"/>
          <w:i/>
          <w:iCs/>
          <w:sz w:val="14"/>
          <w:szCs w:val="14"/>
        </w:rPr>
        <w:t>)</w:t>
      </w:r>
      <w:r w:rsidR="00595DD1" w:rsidRPr="00595DD1">
        <w:rPr>
          <w:rFonts w:ascii="Arial" w:hAnsi="Arial" w:cs="Arial"/>
          <w:i/>
          <w:iCs/>
          <w:sz w:val="14"/>
          <w:szCs w:val="14"/>
        </w:rPr>
        <w:t xml:space="preserve"> així com en l'experiència </w:t>
      </w:r>
      <w:r w:rsidR="0031648B">
        <w:rPr>
          <w:rFonts w:ascii="Arial" w:hAnsi="Arial" w:cs="Arial"/>
          <w:i/>
          <w:iCs/>
          <w:sz w:val="14"/>
          <w:szCs w:val="14"/>
        </w:rPr>
        <w:t>que té</w:t>
      </w:r>
      <w:r w:rsidR="00595DD1" w:rsidRPr="00595DD1">
        <w:rPr>
          <w:rFonts w:ascii="Arial" w:hAnsi="Arial" w:cs="Arial"/>
          <w:i/>
          <w:iCs/>
          <w:sz w:val="14"/>
          <w:szCs w:val="14"/>
        </w:rPr>
        <w:t xml:space="preserve"> l'Agència </w:t>
      </w:r>
      <w:r w:rsidR="0031648B">
        <w:rPr>
          <w:rFonts w:ascii="Arial" w:hAnsi="Arial" w:cs="Arial"/>
          <w:i/>
          <w:iCs/>
          <w:sz w:val="14"/>
          <w:szCs w:val="14"/>
        </w:rPr>
        <w:t xml:space="preserve">de Ciberseguretat </w:t>
      </w:r>
      <w:r w:rsidR="00595DD1" w:rsidRPr="00595DD1">
        <w:rPr>
          <w:rFonts w:ascii="Arial" w:hAnsi="Arial" w:cs="Arial"/>
          <w:i/>
          <w:iCs/>
          <w:sz w:val="14"/>
          <w:szCs w:val="14"/>
        </w:rPr>
        <w:t>en l'execució dels serveis sol·licitats</w:t>
      </w:r>
      <w:r w:rsidR="00595DD1">
        <w:rPr>
          <w:rFonts w:ascii="Arial" w:hAnsi="Arial" w:cs="Arial"/>
          <w:i/>
          <w:iCs/>
          <w:sz w:val="14"/>
          <w:szCs w:val="14"/>
        </w:rPr>
        <w:t>.</w:t>
      </w:r>
    </w:p>
    <w:p w14:paraId="0A3E912F" w14:textId="77777777" w:rsidR="0031648B" w:rsidRDefault="0031648B" w:rsidP="006B6107">
      <w:pPr>
        <w:pStyle w:val="Pargrafdellista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61499B5" w14:textId="133706DA" w:rsidR="006B6107" w:rsidRPr="006266F4" w:rsidRDefault="006B6107" w:rsidP="006B6107">
      <w:pPr>
        <w:pStyle w:val="Pargrafdellista"/>
        <w:spacing w:after="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6266F4">
        <w:rPr>
          <w:rFonts w:ascii="Arial" w:hAnsi="Arial" w:cs="Arial"/>
          <w:i/>
          <w:iCs/>
          <w:sz w:val="14"/>
          <w:szCs w:val="14"/>
        </w:rPr>
        <w:lastRenderedPageBreak/>
        <w:t xml:space="preserve">** </w:t>
      </w:r>
      <w:r w:rsidR="000A3121" w:rsidRPr="006266F4">
        <w:rPr>
          <w:rFonts w:ascii="Arial" w:hAnsi="Arial" w:cs="Arial"/>
          <w:i/>
          <w:iCs/>
          <w:sz w:val="14"/>
          <w:szCs w:val="14"/>
        </w:rPr>
        <w:t xml:space="preserve">El preu hora de cada perfil son els imports de referència que té l’Agència </w:t>
      </w:r>
      <w:r w:rsidR="006266F4" w:rsidRPr="006266F4">
        <w:rPr>
          <w:rFonts w:ascii="Arial" w:hAnsi="Arial" w:cs="Arial"/>
          <w:i/>
          <w:iCs/>
          <w:sz w:val="14"/>
          <w:szCs w:val="14"/>
        </w:rPr>
        <w:t xml:space="preserve">de Ciberseguretat </w:t>
      </w:r>
      <w:r w:rsidR="000A3121" w:rsidRPr="006266F4">
        <w:rPr>
          <w:rFonts w:ascii="Arial" w:hAnsi="Arial" w:cs="Arial"/>
          <w:i/>
          <w:iCs/>
          <w:sz w:val="14"/>
          <w:szCs w:val="14"/>
        </w:rPr>
        <w:t xml:space="preserve">per aquest tipus de perfil, doncs es correspon amb la mitja ofertada per les companyies homologades en els acords marc de l’Agència </w:t>
      </w:r>
      <w:r w:rsidR="006266F4" w:rsidRPr="006266F4">
        <w:rPr>
          <w:rFonts w:ascii="Arial" w:hAnsi="Arial" w:cs="Arial"/>
          <w:i/>
          <w:iCs/>
          <w:sz w:val="14"/>
          <w:szCs w:val="14"/>
        </w:rPr>
        <w:t xml:space="preserve">de Ciberseguretat </w:t>
      </w:r>
      <w:r w:rsidR="000A3121" w:rsidRPr="006266F4">
        <w:rPr>
          <w:rFonts w:ascii="Arial" w:hAnsi="Arial" w:cs="Arial"/>
          <w:i/>
          <w:iCs/>
          <w:sz w:val="14"/>
          <w:szCs w:val="14"/>
        </w:rPr>
        <w:t>per serveis de consultoria, operacions i auditoria.</w:t>
      </w:r>
    </w:p>
    <w:p w14:paraId="2226CF91" w14:textId="77777777" w:rsidR="000513CA" w:rsidRPr="000513CA" w:rsidRDefault="000513CA" w:rsidP="000513CA">
      <w:pPr>
        <w:pStyle w:val="Pargrafdellista"/>
        <w:spacing w:after="0" w:line="276" w:lineRule="auto"/>
        <w:jc w:val="both"/>
        <w:rPr>
          <w:rFonts w:ascii="Arial" w:hAnsi="Arial" w:cs="Arial"/>
        </w:rPr>
      </w:pPr>
    </w:p>
    <w:p w14:paraId="7B258991" w14:textId="77777777" w:rsidR="000513CA" w:rsidRPr="00287E8E" w:rsidRDefault="000513CA" w:rsidP="0097325B">
      <w:pPr>
        <w:spacing w:after="0" w:line="276" w:lineRule="auto"/>
        <w:jc w:val="both"/>
        <w:rPr>
          <w:rFonts w:ascii="Arial" w:hAnsi="Arial" w:cs="Arial"/>
          <w:b/>
          <w:bCs/>
          <w:vanish/>
        </w:rPr>
      </w:pPr>
    </w:p>
    <w:p w14:paraId="70FA7298" w14:textId="2460653B" w:rsidR="0097325B" w:rsidRDefault="0097325B" w:rsidP="00D02F87">
      <w:pPr>
        <w:pStyle w:val="Pargrafdel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072E01">
        <w:rPr>
          <w:rFonts w:ascii="Arial" w:hAnsi="Arial" w:cs="Arial"/>
          <w:b/>
          <w:bCs/>
        </w:rPr>
        <w:t xml:space="preserve">Reemborsament de costos: </w:t>
      </w:r>
      <w:r w:rsidR="00D02F87" w:rsidRPr="00D02F87">
        <w:rPr>
          <w:rFonts w:ascii="Arial" w:hAnsi="Arial" w:cs="Arial"/>
        </w:rPr>
        <w:t>Tal i com</w:t>
      </w:r>
      <w:r w:rsidR="00D02F87">
        <w:rPr>
          <w:rFonts w:ascii="Arial" w:hAnsi="Arial" w:cs="Arial"/>
        </w:rPr>
        <w:t xml:space="preserve"> </w:t>
      </w:r>
      <w:r w:rsidR="000513CA">
        <w:rPr>
          <w:rFonts w:ascii="Arial" w:hAnsi="Arial" w:cs="Arial"/>
        </w:rPr>
        <w:t>estableix</w:t>
      </w:r>
      <w:r w:rsidR="00D02F87">
        <w:rPr>
          <w:rFonts w:ascii="Arial" w:hAnsi="Arial" w:cs="Arial"/>
        </w:rPr>
        <w:t xml:space="preserve"> el Pacte tercer del Conveni, </w:t>
      </w:r>
      <w:r w:rsidR="000513CA">
        <w:rPr>
          <w:rFonts w:ascii="Arial" w:hAnsi="Arial" w:cs="Arial"/>
        </w:rPr>
        <w:t>e</w:t>
      </w:r>
      <w:r w:rsidRPr="00072E01">
        <w:rPr>
          <w:rFonts w:ascii="Arial" w:hAnsi="Arial" w:cs="Arial"/>
        </w:rPr>
        <w:t xml:space="preserve">s preveu el reemborsament dels costos derivats de les actuacions concretes que pugui dur a terme l’Agència </w:t>
      </w:r>
      <w:r w:rsidR="005C1E26">
        <w:rPr>
          <w:rFonts w:ascii="Arial" w:hAnsi="Arial" w:cs="Arial"/>
        </w:rPr>
        <w:t xml:space="preserve">de Ciberseguretat </w:t>
      </w:r>
      <w:r w:rsidRPr="00072E01">
        <w:rPr>
          <w:rFonts w:ascii="Arial" w:hAnsi="Arial" w:cs="Arial"/>
        </w:rPr>
        <w:t xml:space="preserve">en l’àmbit de les seves funcions. </w:t>
      </w:r>
    </w:p>
    <w:p w14:paraId="6C865E26" w14:textId="77777777" w:rsidR="0097325B" w:rsidRDefault="0097325B" w:rsidP="0097325B">
      <w:pPr>
        <w:spacing w:after="0" w:line="276" w:lineRule="auto"/>
        <w:jc w:val="both"/>
        <w:rPr>
          <w:rFonts w:ascii="Arial" w:hAnsi="Arial" w:cs="Arial"/>
        </w:rPr>
      </w:pPr>
    </w:p>
    <w:p w14:paraId="6B1073CD" w14:textId="45770721" w:rsidR="0097325B" w:rsidRPr="00072E01" w:rsidRDefault="00273A8A" w:rsidP="0097325B">
      <w:pPr>
        <w:spacing w:after="0" w:line="276" w:lineRule="auto"/>
        <w:ind w:left="1418" w:hanging="141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TERCER</w:t>
      </w:r>
      <w:r w:rsidR="0097325B" w:rsidRPr="00072E01">
        <w:rPr>
          <w:rFonts w:ascii="Arial" w:hAnsi="Arial" w:cs="Arial"/>
          <w:b/>
          <w:bCs/>
        </w:rPr>
        <w:t>.-</w:t>
      </w:r>
      <w:r w:rsidR="0097325B" w:rsidRPr="00072E01">
        <w:rPr>
          <w:rFonts w:ascii="Arial" w:hAnsi="Arial" w:cs="Arial"/>
          <w:b/>
          <w:bCs/>
        </w:rPr>
        <w:tab/>
      </w:r>
      <w:r w:rsidR="000513CA">
        <w:rPr>
          <w:rFonts w:ascii="Arial" w:hAnsi="Arial" w:cs="Arial"/>
          <w:b/>
          <w:bCs/>
        </w:rPr>
        <w:t xml:space="preserve">CONDICIONS DE L’ADDENDA. </w:t>
      </w:r>
    </w:p>
    <w:p w14:paraId="71375EB4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9854DA9" w14:textId="28D2C202" w:rsidR="0097325B" w:rsidRDefault="00273A8A" w:rsidP="00273A8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>
        <w:rPr>
          <w:rFonts w:ascii="Arial" w:eastAsia="Times New Roman" w:hAnsi="Arial" w:cs="Arial"/>
          <w:kern w:val="0"/>
          <w:lang w:eastAsia="ca-ES"/>
          <w14:ligatures w14:val="none"/>
        </w:rPr>
        <w:t>Pel que respecta a la resta de condicions d’execució</w:t>
      </w:r>
      <w:r w:rsidR="00EA6D86">
        <w:rPr>
          <w:rFonts w:ascii="Arial" w:eastAsia="Times New Roman" w:hAnsi="Arial" w:cs="Arial"/>
          <w:kern w:val="0"/>
          <w:lang w:eastAsia="ca-ES"/>
          <w14:ligatures w14:val="none"/>
        </w:rPr>
        <w:t xml:space="preserve"> d’aquesta Addenda</w:t>
      </w:r>
      <w:r>
        <w:rPr>
          <w:rFonts w:ascii="Arial" w:eastAsia="Times New Roman" w:hAnsi="Arial" w:cs="Arial"/>
          <w:kern w:val="0"/>
          <w:lang w:eastAsia="ca-ES"/>
          <w14:ligatures w14:val="none"/>
        </w:rPr>
        <w:t xml:space="preserve">, son d’aplicació les estipulacions pactades en el Conveni. </w:t>
      </w:r>
    </w:p>
    <w:p w14:paraId="1A012629" w14:textId="77777777" w:rsidR="0097325B" w:rsidRDefault="0097325B" w:rsidP="0097325B">
      <w:pPr>
        <w:pStyle w:val="Pargrafdellista"/>
        <w:spacing w:after="0" w:line="276" w:lineRule="auto"/>
        <w:ind w:left="360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17945C9" w14:textId="77777777" w:rsidR="0097325B" w:rsidRPr="00072E01" w:rsidRDefault="0097325B" w:rsidP="0097325B">
      <w:pPr>
        <w:pStyle w:val="Pargrafdellista"/>
        <w:spacing w:after="0" w:line="276" w:lineRule="auto"/>
        <w:ind w:left="0"/>
        <w:jc w:val="center"/>
        <w:rPr>
          <w:rFonts w:ascii="Arial" w:hAnsi="Arial" w:cs="Arial"/>
        </w:rPr>
      </w:pPr>
      <w:r w:rsidRPr="00072E01">
        <w:rPr>
          <w:rFonts w:ascii="Arial" w:hAnsi="Arial" w:cs="Arial"/>
        </w:rPr>
        <w:t xml:space="preserve">* * </w:t>
      </w:r>
    </w:p>
    <w:p w14:paraId="54773577" w14:textId="77777777" w:rsidR="0097325B" w:rsidRPr="00072E01" w:rsidRDefault="0097325B" w:rsidP="0097325B">
      <w:pPr>
        <w:pStyle w:val="Pargrafdellista"/>
        <w:spacing w:after="0" w:line="276" w:lineRule="auto"/>
        <w:ind w:left="0"/>
        <w:jc w:val="both"/>
        <w:rPr>
          <w:rFonts w:ascii="Arial" w:hAnsi="Arial" w:cs="Arial"/>
        </w:rPr>
      </w:pPr>
      <w:r w:rsidRPr="00072E01">
        <w:rPr>
          <w:rFonts w:ascii="Arial" w:hAnsi="Arial" w:cs="Arial"/>
        </w:rPr>
        <w:t>I en prova de conformitat, les Parts signen electrònicament el present Conveni, a un sol efecte, en el lloc i la data indicats</w:t>
      </w:r>
      <w:r>
        <w:rPr>
          <w:rFonts w:ascii="Arial" w:hAnsi="Arial" w:cs="Arial"/>
        </w:rPr>
        <w:t>.</w:t>
      </w:r>
    </w:p>
    <w:p w14:paraId="7C4B0366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64CE52D8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5A4D0CCC" w14:textId="77777777" w:rsidR="0097325B" w:rsidRPr="00072E01" w:rsidRDefault="0097325B" w:rsidP="0097325B">
      <w:pPr>
        <w:spacing w:after="0" w:line="276" w:lineRule="auto"/>
        <w:contextualSpacing/>
        <w:jc w:val="both"/>
        <w:rPr>
          <w:rFonts w:ascii="Arial" w:hAnsi="Arial" w:cs="Arial"/>
          <w:b/>
          <w:bCs/>
        </w:rPr>
      </w:pPr>
    </w:p>
    <w:p w14:paraId="58F0D044" w14:textId="77777777" w:rsidR="0097325B" w:rsidRPr="00C57DFB" w:rsidRDefault="0097325B" w:rsidP="0097325B">
      <w:pPr>
        <w:spacing w:after="0"/>
        <w:rPr>
          <w:rFonts w:ascii="Arial" w:hAnsi="Arial" w:cs="Arial"/>
        </w:rPr>
      </w:pPr>
      <w:r w:rsidRPr="00C57DFB">
        <w:rPr>
          <w:rFonts w:ascii="Arial" w:hAnsi="Arial" w:cs="Arial"/>
        </w:rPr>
        <w:t>Miquel Salazar Canalda</w:t>
      </w:r>
    </w:p>
    <w:p w14:paraId="29729899" w14:textId="77777777" w:rsidR="0097325B" w:rsidRDefault="0097325B" w:rsidP="0097325B">
      <w:pPr>
        <w:spacing w:after="0"/>
        <w:rPr>
          <w:rFonts w:ascii="Arial" w:hAnsi="Arial" w:cs="Arial"/>
          <w:b/>
          <w:bCs/>
        </w:rPr>
      </w:pPr>
      <w:r w:rsidRPr="00C57DFB">
        <w:rPr>
          <w:rFonts w:ascii="Arial" w:hAnsi="Arial" w:cs="Arial"/>
          <w:b/>
          <w:bCs/>
        </w:rPr>
        <w:t>Sindicatura de Comptes de Catalunya</w:t>
      </w:r>
    </w:p>
    <w:p w14:paraId="2C54DB88" w14:textId="77777777" w:rsidR="0097325B" w:rsidRDefault="0097325B" w:rsidP="0097325B">
      <w:pPr>
        <w:spacing w:after="0"/>
        <w:rPr>
          <w:rFonts w:ascii="Arial" w:hAnsi="Arial" w:cs="Arial"/>
          <w:b/>
          <w:bCs/>
        </w:rPr>
      </w:pPr>
    </w:p>
    <w:p w14:paraId="4E76C1DA" w14:textId="77777777" w:rsidR="0097325B" w:rsidRDefault="0097325B" w:rsidP="0097325B">
      <w:pPr>
        <w:spacing w:after="0"/>
        <w:rPr>
          <w:rFonts w:ascii="Arial" w:hAnsi="Arial" w:cs="Arial"/>
          <w:b/>
          <w:bCs/>
        </w:rPr>
      </w:pPr>
    </w:p>
    <w:p w14:paraId="3CF7B30B" w14:textId="77777777" w:rsidR="0097325B" w:rsidRDefault="0097325B" w:rsidP="0097325B">
      <w:pPr>
        <w:spacing w:after="0"/>
        <w:rPr>
          <w:rFonts w:ascii="Arial" w:hAnsi="Arial" w:cs="Arial"/>
          <w:b/>
          <w:bCs/>
        </w:rPr>
      </w:pPr>
    </w:p>
    <w:p w14:paraId="059C8797" w14:textId="77777777" w:rsidR="0097325B" w:rsidRPr="00C57DFB" w:rsidRDefault="0097325B" w:rsidP="0097325B">
      <w:pPr>
        <w:spacing w:after="0"/>
        <w:rPr>
          <w:rFonts w:ascii="Arial" w:hAnsi="Arial" w:cs="Arial"/>
        </w:rPr>
      </w:pPr>
      <w:r w:rsidRPr="00C57DFB">
        <w:rPr>
          <w:rFonts w:ascii="Arial" w:hAnsi="Arial" w:cs="Arial"/>
        </w:rPr>
        <w:t>Laura Caballero Nadales</w:t>
      </w:r>
    </w:p>
    <w:p w14:paraId="610A501E" w14:textId="77777777" w:rsidR="0097325B" w:rsidRPr="00D37FBA" w:rsidRDefault="0097325B" w:rsidP="0097325B">
      <w:pPr>
        <w:spacing w:after="0"/>
        <w:rPr>
          <w:rFonts w:ascii="Arial" w:hAnsi="Arial" w:cs="Arial"/>
          <w:b/>
          <w:bCs/>
        </w:rPr>
      </w:pPr>
      <w:r w:rsidRPr="00C57DFB">
        <w:rPr>
          <w:rFonts w:ascii="Arial" w:hAnsi="Arial" w:cs="Arial"/>
          <w:b/>
          <w:bCs/>
        </w:rPr>
        <w:t xml:space="preserve">Agència de Ciberseguretat </w:t>
      </w:r>
      <w:r w:rsidRPr="00D37FBA">
        <w:rPr>
          <w:rFonts w:ascii="Arial" w:hAnsi="Arial" w:cs="Arial"/>
          <w:b/>
          <w:bCs/>
        </w:rPr>
        <w:t>de Catalunya</w:t>
      </w:r>
    </w:p>
    <w:p w14:paraId="63B08BCD" w14:textId="77777777" w:rsidR="0097325B" w:rsidRPr="00C57DFB" w:rsidRDefault="0097325B" w:rsidP="0097325B">
      <w:pPr>
        <w:spacing w:after="0"/>
      </w:pPr>
    </w:p>
    <w:sectPr w:rsidR="0097325B" w:rsidRPr="00C57DFB" w:rsidSect="0097325B">
      <w:headerReference w:type="default" r:id="rId11"/>
      <w:footerReference w:type="default" r:id="rId12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7043" w14:textId="77777777" w:rsidR="00C91B82" w:rsidRDefault="00C91B82" w:rsidP="0097325B">
      <w:pPr>
        <w:spacing w:after="0" w:line="240" w:lineRule="auto"/>
      </w:pPr>
      <w:r>
        <w:separator/>
      </w:r>
    </w:p>
  </w:endnote>
  <w:endnote w:type="continuationSeparator" w:id="0">
    <w:p w14:paraId="7A8F6295" w14:textId="77777777" w:rsidR="00C91B82" w:rsidRDefault="00C91B82" w:rsidP="0097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FE2" w14:textId="77777777" w:rsidR="00966315" w:rsidRPr="00966315" w:rsidRDefault="00966315">
    <w:pPr>
      <w:pStyle w:val="Peu"/>
      <w:jc w:val="center"/>
      <w:rPr>
        <w:caps/>
      </w:rPr>
    </w:pPr>
    <w:r w:rsidRPr="00966315">
      <w:rPr>
        <w:caps/>
      </w:rPr>
      <w:fldChar w:fldCharType="begin"/>
    </w:r>
    <w:r w:rsidRPr="00966315">
      <w:rPr>
        <w:caps/>
      </w:rPr>
      <w:instrText>PAGE   \* MERGEFORMAT</w:instrText>
    </w:r>
    <w:r w:rsidRPr="00966315">
      <w:rPr>
        <w:caps/>
      </w:rPr>
      <w:fldChar w:fldCharType="separate"/>
    </w:r>
    <w:r w:rsidRPr="00966315">
      <w:rPr>
        <w:caps/>
      </w:rPr>
      <w:t>2</w:t>
    </w:r>
    <w:r w:rsidRPr="00966315">
      <w:rPr>
        <w:caps/>
      </w:rPr>
      <w:fldChar w:fldCharType="end"/>
    </w:r>
  </w:p>
  <w:p w14:paraId="5590234E" w14:textId="77777777" w:rsidR="00966315" w:rsidRDefault="0096631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531E" w14:textId="77777777" w:rsidR="00C91B82" w:rsidRDefault="00C91B82" w:rsidP="0097325B">
      <w:pPr>
        <w:spacing w:after="0" w:line="240" w:lineRule="auto"/>
      </w:pPr>
      <w:r>
        <w:separator/>
      </w:r>
    </w:p>
  </w:footnote>
  <w:footnote w:type="continuationSeparator" w:id="0">
    <w:p w14:paraId="4F5A115D" w14:textId="77777777" w:rsidR="00C91B82" w:rsidRDefault="00C91B82" w:rsidP="0097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E12D" w14:textId="77777777" w:rsidR="0097325B" w:rsidRPr="00072E01" w:rsidRDefault="0097325B" w:rsidP="0097325B">
    <w:pPr>
      <w:pBdr>
        <w:bar w:val="single" w:sz="4" w:color="auto"/>
      </w:pBdr>
      <w:spacing w:after="0" w:line="276" w:lineRule="auto"/>
      <w:contextualSpacing/>
      <w:jc w:val="both"/>
      <w:rPr>
        <w:rFonts w:ascii="Arial" w:hAnsi="Arial" w:cs="Arial"/>
      </w:rPr>
    </w:pPr>
  </w:p>
  <w:p w14:paraId="6BCB6C90" w14:textId="77777777" w:rsidR="0097325B" w:rsidRDefault="0097325B" w:rsidP="0097325B">
    <w:r w:rsidRPr="00072E01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610BBD5" wp14:editId="7B02CD64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2185153" cy="658368"/>
          <wp:effectExtent l="0" t="0" r="5715" b="8890"/>
          <wp:wrapNone/>
          <wp:docPr id="665435267" name="Imagen 1" descr="Agència de Ciberseguretat de Catalunya. Identitat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ència de Ciberseguretat de Catalunya. Identitat corpo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153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E0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8E6EA3" wp14:editId="343740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89657" cy="627071"/>
          <wp:effectExtent l="0" t="0" r="0" b="1905"/>
          <wp:wrapNone/>
          <wp:docPr id="56252162" name="Imagen 2" descr="La Sindicatura de Comptes avisa de posible &quot;fraccionamiento&quot; de contrato en  el BST en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 Sindicatura de Comptes avisa de posible &quot;fraccionamiento&quot; de contrato en  el BST en 20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657" cy="62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ABA02" w14:textId="77777777" w:rsidR="0097325B" w:rsidRDefault="0097325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2F2"/>
    <w:multiLevelType w:val="hybridMultilevel"/>
    <w:tmpl w:val="D03C364A"/>
    <w:lvl w:ilvl="0" w:tplc="04EE5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C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4A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FE3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8F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C8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E5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80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80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AC530C"/>
    <w:multiLevelType w:val="hybridMultilevel"/>
    <w:tmpl w:val="927C359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665346"/>
    <w:multiLevelType w:val="multilevel"/>
    <w:tmpl w:val="5CBA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601419"/>
    <w:multiLevelType w:val="hybridMultilevel"/>
    <w:tmpl w:val="78AE4E3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09F0"/>
    <w:multiLevelType w:val="hybridMultilevel"/>
    <w:tmpl w:val="2F461CB8"/>
    <w:lvl w:ilvl="0" w:tplc="5AC462BE">
      <w:start w:val="26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A659F"/>
    <w:multiLevelType w:val="hybridMultilevel"/>
    <w:tmpl w:val="92E6EE02"/>
    <w:lvl w:ilvl="0" w:tplc="C59A5A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0F0F"/>
    <w:multiLevelType w:val="hybridMultilevel"/>
    <w:tmpl w:val="EF6C82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9291D"/>
    <w:multiLevelType w:val="hybridMultilevel"/>
    <w:tmpl w:val="5EC04CCA"/>
    <w:lvl w:ilvl="0" w:tplc="5AC462BE">
      <w:start w:val="26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6A19EB"/>
    <w:multiLevelType w:val="hybridMultilevel"/>
    <w:tmpl w:val="01BE2F0C"/>
    <w:lvl w:ilvl="0" w:tplc="0403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347E0BAB"/>
    <w:multiLevelType w:val="hybridMultilevel"/>
    <w:tmpl w:val="92E61DF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1233B"/>
    <w:multiLevelType w:val="hybridMultilevel"/>
    <w:tmpl w:val="996C50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92903"/>
    <w:multiLevelType w:val="hybridMultilevel"/>
    <w:tmpl w:val="25F8E1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60423"/>
    <w:multiLevelType w:val="hybridMultilevel"/>
    <w:tmpl w:val="DFA8C1B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AC20E9"/>
    <w:multiLevelType w:val="hybridMultilevel"/>
    <w:tmpl w:val="9C9206BE"/>
    <w:lvl w:ilvl="0" w:tplc="5AC462BE">
      <w:start w:val="26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B42915"/>
    <w:multiLevelType w:val="hybridMultilevel"/>
    <w:tmpl w:val="580C4DBE"/>
    <w:lvl w:ilvl="0" w:tplc="09E036F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164D"/>
    <w:multiLevelType w:val="hybridMultilevel"/>
    <w:tmpl w:val="555CFA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A85E35"/>
    <w:multiLevelType w:val="hybridMultilevel"/>
    <w:tmpl w:val="F76A4820"/>
    <w:lvl w:ilvl="0" w:tplc="040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30D2E60"/>
    <w:multiLevelType w:val="hybridMultilevel"/>
    <w:tmpl w:val="92E6EE0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32250">
    <w:abstractNumId w:val="14"/>
  </w:num>
  <w:num w:numId="2" w16cid:durableId="388502485">
    <w:abstractNumId w:val="2"/>
  </w:num>
  <w:num w:numId="3" w16cid:durableId="1087002430">
    <w:abstractNumId w:val="5"/>
  </w:num>
  <w:num w:numId="4" w16cid:durableId="1675717271">
    <w:abstractNumId w:val="17"/>
  </w:num>
  <w:num w:numId="5" w16cid:durableId="1376275725">
    <w:abstractNumId w:val="10"/>
  </w:num>
  <w:num w:numId="6" w16cid:durableId="1832528375">
    <w:abstractNumId w:val="3"/>
  </w:num>
  <w:num w:numId="7" w16cid:durableId="1807814718">
    <w:abstractNumId w:val="12"/>
  </w:num>
  <w:num w:numId="8" w16cid:durableId="1285235643">
    <w:abstractNumId w:val="1"/>
  </w:num>
  <w:num w:numId="9" w16cid:durableId="1539850525">
    <w:abstractNumId w:val="13"/>
  </w:num>
  <w:num w:numId="10" w16cid:durableId="1911888906">
    <w:abstractNumId w:val="15"/>
  </w:num>
  <w:num w:numId="11" w16cid:durableId="847062923">
    <w:abstractNumId w:val="8"/>
  </w:num>
  <w:num w:numId="12" w16cid:durableId="495145250">
    <w:abstractNumId w:val="0"/>
  </w:num>
  <w:num w:numId="13" w16cid:durableId="1635409053">
    <w:abstractNumId w:val="11"/>
  </w:num>
  <w:num w:numId="14" w16cid:durableId="1547572084">
    <w:abstractNumId w:val="16"/>
  </w:num>
  <w:num w:numId="15" w16cid:durableId="2027291892">
    <w:abstractNumId w:val="7"/>
  </w:num>
  <w:num w:numId="16" w16cid:durableId="1780640805">
    <w:abstractNumId w:val="4"/>
  </w:num>
  <w:num w:numId="17" w16cid:durableId="2122452062">
    <w:abstractNumId w:val="9"/>
  </w:num>
  <w:num w:numId="18" w16cid:durableId="1192063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5B"/>
    <w:rsid w:val="000003C7"/>
    <w:rsid w:val="00013871"/>
    <w:rsid w:val="00025DE2"/>
    <w:rsid w:val="000513CA"/>
    <w:rsid w:val="00057447"/>
    <w:rsid w:val="000621A7"/>
    <w:rsid w:val="00076A8D"/>
    <w:rsid w:val="0009111B"/>
    <w:rsid w:val="00093E5D"/>
    <w:rsid w:val="00096F18"/>
    <w:rsid w:val="000A3121"/>
    <w:rsid w:val="000B6810"/>
    <w:rsid w:val="000D7706"/>
    <w:rsid w:val="000D7D7B"/>
    <w:rsid w:val="000F08B8"/>
    <w:rsid w:val="00102691"/>
    <w:rsid w:val="00103FFD"/>
    <w:rsid w:val="00104579"/>
    <w:rsid w:val="001049A5"/>
    <w:rsid w:val="00104F79"/>
    <w:rsid w:val="001063C5"/>
    <w:rsid w:val="00117371"/>
    <w:rsid w:val="0013084A"/>
    <w:rsid w:val="00134A6D"/>
    <w:rsid w:val="00140CDB"/>
    <w:rsid w:val="00144D87"/>
    <w:rsid w:val="00164546"/>
    <w:rsid w:val="001776CB"/>
    <w:rsid w:val="00180BFD"/>
    <w:rsid w:val="00183494"/>
    <w:rsid w:val="00186FCF"/>
    <w:rsid w:val="001C3A37"/>
    <w:rsid w:val="001F133B"/>
    <w:rsid w:val="00222EAD"/>
    <w:rsid w:val="0023468B"/>
    <w:rsid w:val="00242216"/>
    <w:rsid w:val="002473B1"/>
    <w:rsid w:val="00266F90"/>
    <w:rsid w:val="00273A8A"/>
    <w:rsid w:val="00280A44"/>
    <w:rsid w:val="00290E6E"/>
    <w:rsid w:val="002972E9"/>
    <w:rsid w:val="002D7AE2"/>
    <w:rsid w:val="00306A2E"/>
    <w:rsid w:val="00311072"/>
    <w:rsid w:val="0031648B"/>
    <w:rsid w:val="00347499"/>
    <w:rsid w:val="003707FF"/>
    <w:rsid w:val="003A3DDF"/>
    <w:rsid w:val="003A677E"/>
    <w:rsid w:val="003A6F0D"/>
    <w:rsid w:val="003A772E"/>
    <w:rsid w:val="003B6EC5"/>
    <w:rsid w:val="003D01B2"/>
    <w:rsid w:val="003F28B6"/>
    <w:rsid w:val="00421F8F"/>
    <w:rsid w:val="0042608C"/>
    <w:rsid w:val="00452DB4"/>
    <w:rsid w:val="004867CB"/>
    <w:rsid w:val="004957F7"/>
    <w:rsid w:val="004C19FF"/>
    <w:rsid w:val="004C41AC"/>
    <w:rsid w:val="004D4C41"/>
    <w:rsid w:val="004F7848"/>
    <w:rsid w:val="00500486"/>
    <w:rsid w:val="005054EB"/>
    <w:rsid w:val="00527883"/>
    <w:rsid w:val="00551B25"/>
    <w:rsid w:val="005850DA"/>
    <w:rsid w:val="00586E0F"/>
    <w:rsid w:val="00595DD1"/>
    <w:rsid w:val="005A36F7"/>
    <w:rsid w:val="005A5884"/>
    <w:rsid w:val="005C1E26"/>
    <w:rsid w:val="005D0A42"/>
    <w:rsid w:val="005D69CD"/>
    <w:rsid w:val="005E7A80"/>
    <w:rsid w:val="00602A1E"/>
    <w:rsid w:val="00606C24"/>
    <w:rsid w:val="006266F4"/>
    <w:rsid w:val="006334EC"/>
    <w:rsid w:val="006468D7"/>
    <w:rsid w:val="0065511B"/>
    <w:rsid w:val="00656895"/>
    <w:rsid w:val="00675A0F"/>
    <w:rsid w:val="00677275"/>
    <w:rsid w:val="00680541"/>
    <w:rsid w:val="00682FED"/>
    <w:rsid w:val="006B6107"/>
    <w:rsid w:val="006C3236"/>
    <w:rsid w:val="006C547C"/>
    <w:rsid w:val="006E75CC"/>
    <w:rsid w:val="006F6783"/>
    <w:rsid w:val="00720CDE"/>
    <w:rsid w:val="00736FF8"/>
    <w:rsid w:val="00746409"/>
    <w:rsid w:val="007544C3"/>
    <w:rsid w:val="00757D48"/>
    <w:rsid w:val="00790BB2"/>
    <w:rsid w:val="00814EE4"/>
    <w:rsid w:val="008178CA"/>
    <w:rsid w:val="0087075F"/>
    <w:rsid w:val="008B3DBD"/>
    <w:rsid w:val="008B5BB3"/>
    <w:rsid w:val="009321F4"/>
    <w:rsid w:val="009332D6"/>
    <w:rsid w:val="009474A4"/>
    <w:rsid w:val="00956E95"/>
    <w:rsid w:val="00966315"/>
    <w:rsid w:val="0097325B"/>
    <w:rsid w:val="00980C1D"/>
    <w:rsid w:val="00982B64"/>
    <w:rsid w:val="009A68C3"/>
    <w:rsid w:val="009C6289"/>
    <w:rsid w:val="009F5774"/>
    <w:rsid w:val="00A01014"/>
    <w:rsid w:val="00A06997"/>
    <w:rsid w:val="00A25255"/>
    <w:rsid w:val="00A2680C"/>
    <w:rsid w:val="00A33F66"/>
    <w:rsid w:val="00A42D85"/>
    <w:rsid w:val="00A53E07"/>
    <w:rsid w:val="00A63AD9"/>
    <w:rsid w:val="00A737B1"/>
    <w:rsid w:val="00A81CC8"/>
    <w:rsid w:val="00A8765E"/>
    <w:rsid w:val="00A87AA8"/>
    <w:rsid w:val="00A93FCC"/>
    <w:rsid w:val="00AA6028"/>
    <w:rsid w:val="00AA749C"/>
    <w:rsid w:val="00AD48DA"/>
    <w:rsid w:val="00AE2B1A"/>
    <w:rsid w:val="00AF5774"/>
    <w:rsid w:val="00B10032"/>
    <w:rsid w:val="00B233F0"/>
    <w:rsid w:val="00B2476C"/>
    <w:rsid w:val="00B5073A"/>
    <w:rsid w:val="00B55F0B"/>
    <w:rsid w:val="00B80321"/>
    <w:rsid w:val="00BE0B2F"/>
    <w:rsid w:val="00C0456B"/>
    <w:rsid w:val="00C12EDC"/>
    <w:rsid w:val="00C22CD3"/>
    <w:rsid w:val="00C24165"/>
    <w:rsid w:val="00C3120A"/>
    <w:rsid w:val="00C419E7"/>
    <w:rsid w:val="00C55273"/>
    <w:rsid w:val="00C62965"/>
    <w:rsid w:val="00C81BA5"/>
    <w:rsid w:val="00C82F03"/>
    <w:rsid w:val="00C91B82"/>
    <w:rsid w:val="00CB6A91"/>
    <w:rsid w:val="00CC4CF7"/>
    <w:rsid w:val="00CD797C"/>
    <w:rsid w:val="00CE2750"/>
    <w:rsid w:val="00CE416C"/>
    <w:rsid w:val="00CE6617"/>
    <w:rsid w:val="00D02F87"/>
    <w:rsid w:val="00D07587"/>
    <w:rsid w:val="00D23876"/>
    <w:rsid w:val="00D36871"/>
    <w:rsid w:val="00D9197E"/>
    <w:rsid w:val="00D97FC3"/>
    <w:rsid w:val="00DA0405"/>
    <w:rsid w:val="00DE3E24"/>
    <w:rsid w:val="00DF029F"/>
    <w:rsid w:val="00E06BDE"/>
    <w:rsid w:val="00E13DCF"/>
    <w:rsid w:val="00E173C9"/>
    <w:rsid w:val="00E30D5F"/>
    <w:rsid w:val="00E473E0"/>
    <w:rsid w:val="00E537E0"/>
    <w:rsid w:val="00E64C26"/>
    <w:rsid w:val="00E66C2B"/>
    <w:rsid w:val="00E879D6"/>
    <w:rsid w:val="00E92AEA"/>
    <w:rsid w:val="00EA2989"/>
    <w:rsid w:val="00EA6D86"/>
    <w:rsid w:val="00EB36A2"/>
    <w:rsid w:val="00EC591C"/>
    <w:rsid w:val="00EF02A6"/>
    <w:rsid w:val="00EF2A4E"/>
    <w:rsid w:val="00F10354"/>
    <w:rsid w:val="00F30ACA"/>
    <w:rsid w:val="00FB14D4"/>
    <w:rsid w:val="00FB1E9D"/>
    <w:rsid w:val="00FB57E5"/>
    <w:rsid w:val="00FD2B60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A72"/>
  <w15:chartTrackingRefBased/>
  <w15:docId w15:val="{895DB954-ECA9-4FF5-9433-BC303DB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5B"/>
  </w:style>
  <w:style w:type="paragraph" w:styleId="Ttol1">
    <w:name w:val="heading 1"/>
    <w:basedOn w:val="Normal"/>
    <w:next w:val="Normal"/>
    <w:link w:val="Ttol1Car"/>
    <w:uiPriority w:val="9"/>
    <w:qFormat/>
    <w:rsid w:val="0097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32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32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32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32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32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32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7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7325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7325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732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32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325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7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325B"/>
  </w:style>
  <w:style w:type="paragraph" w:styleId="Peu">
    <w:name w:val="footer"/>
    <w:basedOn w:val="Normal"/>
    <w:link w:val="PeuCar"/>
    <w:uiPriority w:val="99"/>
    <w:unhideWhenUsed/>
    <w:rsid w:val="0097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325B"/>
  </w:style>
  <w:style w:type="paragraph" w:customStyle="1" w:styleId="TEXT">
    <w:name w:val="TEXT"/>
    <w:basedOn w:val="Normal"/>
    <w:link w:val="TEXTCar"/>
    <w:qFormat/>
    <w:rsid w:val="005A36F7"/>
    <w:pPr>
      <w:spacing w:after="0" w:line="240" w:lineRule="auto"/>
      <w:ind w:left="708"/>
      <w:jc w:val="both"/>
    </w:pPr>
    <w:rPr>
      <w:rFonts w:ascii="Arial" w:hAnsi="Arial"/>
      <w:kern w:val="0"/>
      <w:sz w:val="22"/>
      <w14:ligatures w14:val="none"/>
    </w:rPr>
  </w:style>
  <w:style w:type="character" w:customStyle="1" w:styleId="TEXTCar">
    <w:name w:val="TEXT Car"/>
    <w:basedOn w:val="Lletraperdefectedelpargraf"/>
    <w:link w:val="TEXT"/>
    <w:rsid w:val="005A36F7"/>
    <w:rPr>
      <w:rFonts w:ascii="Arial" w:hAnsi="Arial"/>
      <w:kern w:val="0"/>
      <w:sz w:val="22"/>
      <w14:ligatures w14:val="none"/>
    </w:rPr>
  </w:style>
  <w:style w:type="table" w:styleId="Taulaambquadrcula">
    <w:name w:val="Table Grid"/>
    <w:basedOn w:val="Taulanormal"/>
    <w:uiPriority w:val="39"/>
    <w:rsid w:val="009A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dequadrcula4">
    <w:name w:val="Grid Table 4"/>
    <w:basedOn w:val="Taulanormal"/>
    <w:uiPriority w:val="49"/>
    <w:rsid w:val="009A68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A53B232BF844280450A75D0DADFD5" ma:contentTypeVersion="13" ma:contentTypeDescription="Create a new document." ma:contentTypeScope="" ma:versionID="09246568f80704d29103106ea3b763ea">
  <xsd:schema xmlns:xsd="http://www.w3.org/2001/XMLSchema" xmlns:xs="http://www.w3.org/2001/XMLSchema" xmlns:p="http://schemas.microsoft.com/office/2006/metadata/properties" xmlns:ns2="4e88724b-5ab1-4fee-a564-27dad9916989" xmlns:ns3="39e56749-4f69-4043-baa1-acdce0f4dcc2" targetNamespace="http://schemas.microsoft.com/office/2006/metadata/properties" ma:root="true" ma:fieldsID="58467dced07268827dbfd3d13425b9c8" ns2:_="" ns3:_="">
    <xsd:import namespace="4e88724b-5ab1-4fee-a564-27dad9916989"/>
    <xsd:import namespace="39e56749-4f69-4043-baa1-acdce0f4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724b-5ab1-4fee-a564-27dad9916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b0bbd-b6de-4d27-8868-3e9b477f1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6749-4f69-4043-baa1-acdce0f4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9e5327-a3a9-406b-9340-6ea76b4c6e33}" ma:internalName="TaxCatchAll" ma:showField="CatchAllData" ma:web="39e56749-4f69-4043-baa1-acdce0f4d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56749-4f69-4043-baa1-acdce0f4dcc2" xsi:nil="true"/>
    <lcf76f155ced4ddcb4097134ff3c332f xmlns="4e88724b-5ab1-4fee-a564-27dad99169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32F7-DD92-49C1-91FC-F190CF386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724b-5ab1-4fee-a564-27dad9916989"/>
    <ds:schemaRef ds:uri="39e56749-4f69-4043-baa1-acdce0f4d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F530E-A9AE-4C21-8CC8-AD1E97ED2F67}">
  <ds:schemaRefs>
    <ds:schemaRef ds:uri="http://schemas.microsoft.com/office/2006/metadata/properties"/>
    <ds:schemaRef ds:uri="http://schemas.microsoft.com/office/infopath/2007/PartnerControls"/>
    <ds:schemaRef ds:uri="39e56749-4f69-4043-baa1-acdce0f4dcc2"/>
    <ds:schemaRef ds:uri="4e88724b-5ab1-4fee-a564-27dad9916989"/>
  </ds:schemaRefs>
</ds:datastoreItem>
</file>

<file path=customXml/itemProps3.xml><?xml version="1.0" encoding="utf-8"?>
<ds:datastoreItem xmlns:ds="http://schemas.openxmlformats.org/officeDocument/2006/customXml" ds:itemID="{DC86C742-C3C2-462D-A0EA-817D078DA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A385B-3072-4998-BB9F-82BBB005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ACC_Addenda amb Sindicatura</dc:title>
  <dc:subject/>
  <cp:keywords>Serveis de ciberseguretat</cp:keywords>
  <dc:description/>
  <dcterms:created xsi:type="dcterms:W3CDTF">2025-10-01T12:26:00Z</dcterms:created>
  <dcterms:modified xsi:type="dcterms:W3CDTF">2025-10-01T13:50:00Z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0x01010033EA53B232BF844280450A75D0DADFD5</vt:lpwstr>
  </property>
  <property fmtid="{D5CDD505-2E9C-101B-9397-08002B2CF9AE}" pid="3" name="MediaServiceImageTags">
    <vt:lpwstr/>
  </property>
</Properties>
</file>